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1F843" w14:textId="6989038B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6.- Servicios y procedimientos (Rev. Jun-2026)</w:t>
      </w:r>
    </w:p>
    <w:p w14:paraId="313DC795" w14:textId="3753597B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PROEXCA ES UNA EMPRESA PUBLICA QUE NO APLICA LEY PROCEDIMIENTOS Y NO PRESTA SERVICIOS PÚBLICOS. (Rev. Abr-</w:t>
      </w:r>
      <w:proofErr w:type="gramStart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2026)(</w:t>
      </w:r>
      <w:proofErr w:type="gramEnd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PDF)(DOCX)(ODT)</w:t>
      </w:r>
    </w:p>
    <w:p w14:paraId="2A1E5D2C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pict w14:anchorId="50EDC227">
          <v:rect id="_x0000_i1026" style="width:0;height:1.5pt" o:hralign="center" o:hrstd="t" o:hr="t" fillcolor="#a0a0a0" stroked="f"/>
        </w:pict>
      </w:r>
    </w:p>
    <w:p w14:paraId="69E923BE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6.1.- Servicios</w:t>
      </w:r>
    </w:p>
    <w:p w14:paraId="300D2A28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6.1.1.- Servicios que presta cada unidad administrativa o la entidad, indicando los requisitos y condiciones de acceso a los mismos, horario, tasas, tarifas o precios; y, en el caso de las entidades locales, las normas por las que se rigen. (</w:t>
      </w:r>
      <w:proofErr w:type="gramStart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1076)(</w:t>
      </w:r>
      <w:proofErr w:type="gramEnd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Rev. Jun-2026)</w:t>
      </w:r>
    </w:p>
    <w:p w14:paraId="04171D39" w14:textId="77777777" w:rsidR="00671405" w:rsidRPr="00671405" w:rsidRDefault="00671405" w:rsidP="00671405">
      <w:pPr>
        <w:numPr>
          <w:ilvl w:val="0"/>
          <w:numId w:val="28"/>
        </w:num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La entidad no presta ningún servicio directo a la ciudadanía</w:t>
      </w:r>
    </w:p>
    <w:p w14:paraId="05C8BB46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6.1.2.- Listas de espera para acceder a los servicios. (1079) (Rev. Jun-2026)</w:t>
      </w:r>
    </w:p>
    <w:p w14:paraId="00C51C50" w14:textId="77777777" w:rsidR="00671405" w:rsidRPr="00671405" w:rsidRDefault="00671405" w:rsidP="00671405">
      <w:pPr>
        <w:numPr>
          <w:ilvl w:val="0"/>
          <w:numId w:val="29"/>
        </w:num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La entidad no presta ningún servicio directo a la ciudadanía</w:t>
      </w:r>
    </w:p>
    <w:p w14:paraId="24DBDF2A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6.1.3.- Cartas de servicios elaboradas y, en el caso de las entidades locales, compromisos asumidos y grado de cumplimiento de los mismos. (</w:t>
      </w:r>
      <w:proofErr w:type="gramStart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1080)(</w:t>
      </w:r>
      <w:proofErr w:type="gramEnd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Rev. Jun-2026)</w:t>
      </w:r>
    </w:p>
    <w:p w14:paraId="220D0748" w14:textId="77777777" w:rsidR="00671405" w:rsidRPr="00671405" w:rsidRDefault="00671405" w:rsidP="00671405">
      <w:pPr>
        <w:numPr>
          <w:ilvl w:val="0"/>
          <w:numId w:val="30"/>
        </w:num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La entidad no presta ningún servicio directo a la ciudadanía</w:t>
      </w:r>
    </w:p>
    <w:p w14:paraId="68DD1CE6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pict w14:anchorId="4C3E3FCA">
          <v:rect id="_x0000_i1027" style="width:0;height:1.5pt" o:hralign="center" o:hrstd="t" o:hr="t" fillcolor="#a0a0a0" stroked="f"/>
        </w:pict>
      </w:r>
    </w:p>
    <w:p w14:paraId="05AA8D8B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6.2.- Procedimientos</w:t>
      </w:r>
    </w:p>
    <w:p w14:paraId="7B04D187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6.2.1.- Catálogo de procedimientos, incluyendo los de carácter tributario en su caso, con indicación de los que estén disponibles en formato electrónico. (</w:t>
      </w:r>
      <w:proofErr w:type="gramStart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1081)(</w:t>
      </w:r>
      <w:proofErr w:type="gramEnd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Rev. Jun-2026)</w:t>
      </w:r>
    </w:p>
    <w:p w14:paraId="02E7258D" w14:textId="77777777" w:rsidR="00671405" w:rsidRPr="00671405" w:rsidRDefault="00671405" w:rsidP="00671405">
      <w:pPr>
        <w:numPr>
          <w:ilvl w:val="0"/>
          <w:numId w:val="31"/>
        </w:num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No disponemos de un catálogo de procedimientos, el único procedimiento existente es el de quejas, reclamaciones y sugerencias.</w:t>
      </w:r>
    </w:p>
    <w:p w14:paraId="78984F49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6.2.2.- Procedimiento para la presentación de quejas y reclamaciones sobre el funcionamiento del servicio. (</w:t>
      </w:r>
      <w:proofErr w:type="gramStart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1082)(</w:t>
      </w:r>
      <w:proofErr w:type="gramEnd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Rev. Jun-2026)</w:t>
      </w:r>
    </w:p>
    <w:p w14:paraId="0626A527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Proexca dispone de un sistema para gestionar quejas, reclamaciones y sugerencias, cuyo objetivo es mejorar la calidad de sus productos y servicios. Este sistema establece qué se entiende por cada tipo de solicitud, los canales disponibles para presentarlas, así como los plazos y el modo en que se tramitan.</w:t>
      </w:r>
    </w:p>
    <w:p w14:paraId="139A7681" w14:textId="42D6F225" w:rsidR="00671405" w:rsidRPr="00671405" w:rsidRDefault="00671405" w:rsidP="00671405">
      <w:pPr>
        <w:numPr>
          <w:ilvl w:val="0"/>
          <w:numId w:val="32"/>
        </w:num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Procedimiento de Quejas, Reclamaciones y Sugerencias </w:t>
      </w: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(PDF)(DOCX)(ODT)</w:t>
      </w:r>
    </w:p>
    <w:p w14:paraId="27C0E238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6.2.3.- Estadísticas de quejas y sugerencias: número de reclamaciones por el funcionamiento de los servicios y número o proporción de aceptadas o resueltas a favor de los interesados. (</w:t>
      </w:r>
      <w:proofErr w:type="gramStart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1083)(</w:t>
      </w:r>
      <w:proofErr w:type="gramEnd"/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Rev. Jun-2026)</w:t>
      </w:r>
    </w:p>
    <w:p w14:paraId="2DB35064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Proexca no recibió durante el 2025 quejas, reclamaciones o sugerencias.</w:t>
      </w:r>
    </w:p>
    <w:p w14:paraId="531FE232" w14:textId="185FD941" w:rsidR="00671405" w:rsidRPr="00671405" w:rsidRDefault="00671405" w:rsidP="00671405">
      <w:pPr>
        <w:numPr>
          <w:ilvl w:val="0"/>
          <w:numId w:val="33"/>
        </w:num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proofErr w:type="gramStart"/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lastRenderedPageBreak/>
        <w:t>Histórico ejercicios</w:t>
      </w:r>
      <w:proofErr w:type="gramEnd"/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 xml:space="preserve"> 2019-2025 del número de quejas, reclamaciones y sugerencias, y número de aceptadas o resueltas a favor de los interesados </w:t>
      </w: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(PDF)(DOCX)(</w:t>
      </w:r>
      <w:r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XLSX</w:t>
      </w: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)</w:t>
      </w:r>
    </w:p>
    <w:p w14:paraId="09357827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6.2.4.- Descripción del uso del canal interno de información de la Ley 2/2023, y principios esenciales del procedimiento de gestión (2005) (Rev. Abr-2026)</w:t>
      </w:r>
    </w:p>
    <w:p w14:paraId="634F176E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El sistema interno de información te permite reportar cualquier actuación que suponga una efectiva limitación de los derechos y garantías previstos en la L 2/2023. Si presentas una comunicación, incluso aunque no sea de manera anónima, debes conocer que queda preservada tu identidad, que no puede ser comunicada a terceros, y garantizada la confidencialidad de los datos correspondientes a las personas afectadas y a cualquier tercero que se mencione en la información suministrada. Las revelaciones que deban hacerse quedan sujetas a salvaguardas establecidas en la normativa aplicable.</w:t>
      </w:r>
    </w:p>
    <w:p w14:paraId="6C42B7B1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PROEXCA, para facilitar la comunicación de posibles conductas irregulares en el seno de la entidad, ha implantado un </w:t>
      </w: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Sistema Interno de Información (en lo sucesivo, SII)</w:t>
      </w: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 de conformidad con la Ley 2/2023, de 20 de febrero, reguladora de la protección de las personas que informen sobre infracciones normativas y de lucha contra la corrupción. El SII de PROEXCA permite, de forma segura, y garantizando la confidencialidad de la identidad del informante, la presentación y gestión de comunicaciones sobre posibles irregularidades.</w:t>
      </w:r>
    </w:p>
    <w:p w14:paraId="568DEE3F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La </w:t>
      </w: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regulación del SII </w:t>
      </w: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se contiene en la Política y el Reglamento que han sido aprobados por el Consejo de Administración y a los cuales puede acceder en el apartado DOCUMENTOS ADJUNTOS. A través del presente canal </w:t>
      </w: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puede comunicar infracciones del Derecho de la Unión Europea, infracciones penales o administrativas, o cualquier otra infracción normativa o incumplimiento grave de los procedimientos</w:t>
      </w: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, las cuales se tramitarán conforme se indica en el Reglamento.</w:t>
      </w:r>
    </w:p>
    <w:p w14:paraId="1DF9C4ED" w14:textId="2D88A85C" w:rsidR="00671405" w:rsidRPr="00671405" w:rsidRDefault="00671405" w:rsidP="00671405">
      <w:pPr>
        <w:numPr>
          <w:ilvl w:val="0"/>
          <w:numId w:val="34"/>
        </w:num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  <w:r w:rsidRPr="00671405">
        <w:rPr>
          <w:rFonts w:ascii="Aptos" w:eastAsia="Aptos" w:hAnsi="Aptos"/>
          <w:b/>
          <w:bCs/>
          <w:kern w:val="2"/>
          <w:lang w:val="es-ES" w:eastAsia="en-US"/>
          <w14:ligatures w14:val="standardContextual"/>
        </w:rPr>
        <w:t>Descripción y utilización del Sistemas Interno de Información</w:t>
      </w:r>
      <w:r w:rsidRPr="00671405">
        <w:rPr>
          <w:rFonts w:ascii="Aptos" w:eastAsia="Aptos" w:hAnsi="Aptos"/>
          <w:kern w:val="2"/>
          <w:lang w:val="es-ES" w:eastAsia="en-US"/>
          <w14:ligatures w14:val="standardContextual"/>
        </w:rPr>
        <w:t> (Rev. Abr-2026) (PDF)(DOCX)(ODT)</w:t>
      </w:r>
    </w:p>
    <w:p w14:paraId="12046A01" w14:textId="77777777" w:rsidR="00671405" w:rsidRPr="00671405" w:rsidRDefault="00671405" w:rsidP="00671405">
      <w:pPr>
        <w:spacing w:after="160" w:line="278" w:lineRule="auto"/>
        <w:jc w:val="both"/>
        <w:rPr>
          <w:rFonts w:ascii="Aptos" w:eastAsia="Aptos" w:hAnsi="Aptos"/>
          <w:kern w:val="2"/>
          <w:lang w:val="es-ES" w:eastAsia="en-US"/>
          <w14:ligatures w14:val="standardContextual"/>
        </w:rPr>
      </w:pPr>
    </w:p>
    <w:p w14:paraId="744CAFE4" w14:textId="110667B1" w:rsidR="009B39FC" w:rsidRPr="00671405" w:rsidRDefault="009B39FC" w:rsidP="00671405">
      <w:pPr>
        <w:rPr>
          <w:rFonts w:eastAsia="Calibri"/>
        </w:rPr>
      </w:pPr>
    </w:p>
    <w:sectPr w:rsidR="009B39FC" w:rsidRPr="00671405" w:rsidSect="00E26B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47" w:right="707" w:bottom="568" w:left="851" w:header="70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975CC" w14:textId="77777777" w:rsidR="00C94EE3" w:rsidRDefault="00C94EE3">
      <w:r>
        <w:separator/>
      </w:r>
    </w:p>
  </w:endnote>
  <w:endnote w:type="continuationSeparator" w:id="0">
    <w:p w14:paraId="39F10CD9" w14:textId="77777777" w:rsidR="00C94EE3" w:rsidRDefault="00C9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1BCB5" w14:textId="77777777" w:rsidR="006F78F0" w:rsidRDefault="006F78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5E55" w14:textId="77777777" w:rsidR="006F78F0" w:rsidRDefault="006F78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9BD3" w14:textId="77777777" w:rsidR="006F78F0" w:rsidRDefault="006F7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027EB" w14:textId="77777777" w:rsidR="00C94EE3" w:rsidRDefault="00C94EE3">
      <w:r>
        <w:separator/>
      </w:r>
    </w:p>
  </w:footnote>
  <w:footnote w:type="continuationSeparator" w:id="0">
    <w:p w14:paraId="121F6152" w14:textId="77777777" w:rsidR="00C94EE3" w:rsidRDefault="00C94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FEE5" w14:textId="77777777" w:rsidR="006F78F0" w:rsidRDefault="006F78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0B42" w14:textId="305147B1" w:rsidR="006F78F0" w:rsidRDefault="006F78F0">
    <w:pPr>
      <w:pStyle w:val="Encabezado"/>
      <w:tabs>
        <w:tab w:val="left" w:pos="180"/>
      </w:tabs>
    </w:pPr>
    <w:r>
      <w:tab/>
    </w:r>
    <w:r>
      <w:tab/>
    </w:r>
  </w:p>
  <w:p w14:paraId="7710C74D" w14:textId="77777777" w:rsidR="006F78F0" w:rsidRDefault="006F78F0">
    <w:pPr>
      <w:pStyle w:val="Encabezado"/>
      <w:tabs>
        <w:tab w:val="left" w:pos="180"/>
      </w:tabs>
    </w:pPr>
  </w:p>
  <w:p w14:paraId="59BADD91" w14:textId="77777777" w:rsidR="006F78F0" w:rsidRDefault="006F78F0">
    <w:pPr>
      <w:pStyle w:val="Encabezado"/>
      <w:tabs>
        <w:tab w:val="left" w:pos="180"/>
      </w:tabs>
    </w:pPr>
    <w:r>
      <w:rPr>
        <w:noProof/>
        <w:lang w:val="es-ES" w:eastAsia="es-ES"/>
      </w:rPr>
      <w:drawing>
        <wp:inline distT="0" distB="0" distL="0" distR="0" wp14:anchorId="09444785" wp14:editId="1B786467">
          <wp:extent cx="3077215" cy="41070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742" cy="45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D2E29B" w14:textId="77777777" w:rsidR="006F78F0" w:rsidRDefault="006F78F0">
    <w:pPr>
      <w:pStyle w:val="Encabezado"/>
      <w:tabs>
        <w:tab w:val="left" w:pos="180"/>
      </w:tabs>
    </w:pPr>
  </w:p>
  <w:p w14:paraId="654C59D4" w14:textId="77777777" w:rsidR="006F78F0" w:rsidRDefault="006F78F0">
    <w:pPr>
      <w:pStyle w:val="Encabezado"/>
      <w:tabs>
        <w:tab w:val="left" w:pos="1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F3B7" w14:textId="77777777" w:rsidR="006F78F0" w:rsidRDefault="006F78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21E4"/>
    <w:multiLevelType w:val="hybridMultilevel"/>
    <w:tmpl w:val="DE32CF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1DF"/>
    <w:multiLevelType w:val="multilevel"/>
    <w:tmpl w:val="7D1C2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92ACC"/>
    <w:multiLevelType w:val="hybridMultilevel"/>
    <w:tmpl w:val="FA9A8F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835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80A32"/>
    <w:multiLevelType w:val="hybridMultilevel"/>
    <w:tmpl w:val="811210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80F84"/>
    <w:multiLevelType w:val="hybridMultilevel"/>
    <w:tmpl w:val="7A54498C"/>
    <w:lvl w:ilvl="0" w:tplc="E8ACCB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87882"/>
    <w:multiLevelType w:val="multilevel"/>
    <w:tmpl w:val="F1BEC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28F0"/>
    <w:multiLevelType w:val="multilevel"/>
    <w:tmpl w:val="623284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2B1381D"/>
    <w:multiLevelType w:val="multilevel"/>
    <w:tmpl w:val="E28835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8E669DA"/>
    <w:multiLevelType w:val="multilevel"/>
    <w:tmpl w:val="5270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922BB"/>
    <w:multiLevelType w:val="multilevel"/>
    <w:tmpl w:val="285A52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805D40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467BA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D776D"/>
    <w:multiLevelType w:val="multilevel"/>
    <w:tmpl w:val="7D1897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7F769FC"/>
    <w:multiLevelType w:val="multilevel"/>
    <w:tmpl w:val="C66CAF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BF17AB7"/>
    <w:multiLevelType w:val="hybridMultilevel"/>
    <w:tmpl w:val="240A14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C6A7B"/>
    <w:multiLevelType w:val="hybridMultilevel"/>
    <w:tmpl w:val="667C3F96"/>
    <w:lvl w:ilvl="0" w:tplc="2BF24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D6DEA"/>
    <w:multiLevelType w:val="hybridMultilevel"/>
    <w:tmpl w:val="0A384E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42D"/>
    <w:multiLevelType w:val="multilevel"/>
    <w:tmpl w:val="277E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CD1431"/>
    <w:multiLevelType w:val="hybridMultilevel"/>
    <w:tmpl w:val="AD669A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86AF7"/>
    <w:multiLevelType w:val="multilevel"/>
    <w:tmpl w:val="BF12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184B69"/>
    <w:multiLevelType w:val="multilevel"/>
    <w:tmpl w:val="605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E248CF"/>
    <w:multiLevelType w:val="multilevel"/>
    <w:tmpl w:val="E15E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AC0D31"/>
    <w:multiLevelType w:val="hybridMultilevel"/>
    <w:tmpl w:val="F8E2B3BC"/>
    <w:lvl w:ilvl="0" w:tplc="0C0A0017">
      <w:start w:val="1"/>
      <w:numFmt w:val="lowerLetter"/>
      <w:lvlText w:val="%1)"/>
      <w:lvlJc w:val="left"/>
      <w:pPr>
        <w:ind w:left="767" w:hanging="360"/>
      </w:pPr>
    </w:lvl>
    <w:lvl w:ilvl="1" w:tplc="0C0A0019" w:tentative="1">
      <w:start w:val="1"/>
      <w:numFmt w:val="lowerLetter"/>
      <w:lvlText w:val="%2."/>
      <w:lvlJc w:val="left"/>
      <w:pPr>
        <w:ind w:left="1487" w:hanging="360"/>
      </w:pPr>
    </w:lvl>
    <w:lvl w:ilvl="2" w:tplc="0C0A001B" w:tentative="1">
      <w:start w:val="1"/>
      <w:numFmt w:val="lowerRoman"/>
      <w:lvlText w:val="%3."/>
      <w:lvlJc w:val="right"/>
      <w:pPr>
        <w:ind w:left="2207" w:hanging="180"/>
      </w:pPr>
    </w:lvl>
    <w:lvl w:ilvl="3" w:tplc="0C0A000F" w:tentative="1">
      <w:start w:val="1"/>
      <w:numFmt w:val="decimal"/>
      <w:lvlText w:val="%4."/>
      <w:lvlJc w:val="left"/>
      <w:pPr>
        <w:ind w:left="2927" w:hanging="360"/>
      </w:pPr>
    </w:lvl>
    <w:lvl w:ilvl="4" w:tplc="0C0A0019" w:tentative="1">
      <w:start w:val="1"/>
      <w:numFmt w:val="lowerLetter"/>
      <w:lvlText w:val="%5."/>
      <w:lvlJc w:val="left"/>
      <w:pPr>
        <w:ind w:left="3647" w:hanging="360"/>
      </w:pPr>
    </w:lvl>
    <w:lvl w:ilvl="5" w:tplc="0C0A001B" w:tentative="1">
      <w:start w:val="1"/>
      <w:numFmt w:val="lowerRoman"/>
      <w:lvlText w:val="%6."/>
      <w:lvlJc w:val="right"/>
      <w:pPr>
        <w:ind w:left="4367" w:hanging="180"/>
      </w:pPr>
    </w:lvl>
    <w:lvl w:ilvl="6" w:tplc="0C0A000F" w:tentative="1">
      <w:start w:val="1"/>
      <w:numFmt w:val="decimal"/>
      <w:lvlText w:val="%7."/>
      <w:lvlJc w:val="left"/>
      <w:pPr>
        <w:ind w:left="5087" w:hanging="360"/>
      </w:pPr>
    </w:lvl>
    <w:lvl w:ilvl="7" w:tplc="0C0A0019" w:tentative="1">
      <w:start w:val="1"/>
      <w:numFmt w:val="lowerLetter"/>
      <w:lvlText w:val="%8."/>
      <w:lvlJc w:val="left"/>
      <w:pPr>
        <w:ind w:left="5807" w:hanging="360"/>
      </w:pPr>
    </w:lvl>
    <w:lvl w:ilvl="8" w:tplc="0C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4" w15:restartNumberingAfterBreak="0">
    <w:nsid w:val="51197F31"/>
    <w:multiLevelType w:val="multilevel"/>
    <w:tmpl w:val="903C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984AEC"/>
    <w:multiLevelType w:val="hybridMultilevel"/>
    <w:tmpl w:val="7CEE3A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65728"/>
    <w:multiLevelType w:val="multilevel"/>
    <w:tmpl w:val="E0B63C7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75F2074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131F5"/>
    <w:multiLevelType w:val="hybridMultilevel"/>
    <w:tmpl w:val="7DC2E3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35408"/>
    <w:multiLevelType w:val="hybridMultilevel"/>
    <w:tmpl w:val="8A0EA92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4A074E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E90B5F"/>
    <w:multiLevelType w:val="multilevel"/>
    <w:tmpl w:val="E326B8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02057E8"/>
    <w:multiLevelType w:val="multilevel"/>
    <w:tmpl w:val="3964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3838C5"/>
    <w:multiLevelType w:val="multilevel"/>
    <w:tmpl w:val="5AC813E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87644492">
    <w:abstractNumId w:val="31"/>
  </w:num>
  <w:num w:numId="2" w16cid:durableId="1919826550">
    <w:abstractNumId w:val="10"/>
  </w:num>
  <w:num w:numId="3" w16cid:durableId="1513103965">
    <w:abstractNumId w:val="13"/>
  </w:num>
  <w:num w:numId="4" w16cid:durableId="2146044600">
    <w:abstractNumId w:val="7"/>
  </w:num>
  <w:num w:numId="5" w16cid:durableId="1879783351">
    <w:abstractNumId w:val="14"/>
  </w:num>
  <w:num w:numId="6" w16cid:durableId="1493721740">
    <w:abstractNumId w:val="26"/>
  </w:num>
  <w:num w:numId="7" w16cid:durableId="657343057">
    <w:abstractNumId w:val="8"/>
  </w:num>
  <w:num w:numId="8" w16cid:durableId="570308120">
    <w:abstractNumId w:val="16"/>
  </w:num>
  <w:num w:numId="9" w16cid:durableId="383405961">
    <w:abstractNumId w:val="23"/>
  </w:num>
  <w:num w:numId="10" w16cid:durableId="1719932480">
    <w:abstractNumId w:val="15"/>
  </w:num>
  <w:num w:numId="11" w16cid:durableId="362176618">
    <w:abstractNumId w:val="11"/>
  </w:num>
  <w:num w:numId="12" w16cid:durableId="1109081359">
    <w:abstractNumId w:val="25"/>
  </w:num>
  <w:num w:numId="13" w16cid:durableId="202593186">
    <w:abstractNumId w:val="12"/>
  </w:num>
  <w:num w:numId="14" w16cid:durableId="530799979">
    <w:abstractNumId w:val="5"/>
  </w:num>
  <w:num w:numId="15" w16cid:durableId="2127919622">
    <w:abstractNumId w:val="6"/>
  </w:num>
  <w:num w:numId="16" w16cid:durableId="1887257540">
    <w:abstractNumId w:val="3"/>
  </w:num>
  <w:num w:numId="17" w16cid:durableId="502159252">
    <w:abstractNumId w:val="30"/>
  </w:num>
  <w:num w:numId="18" w16cid:durableId="441417598">
    <w:abstractNumId w:val="0"/>
  </w:num>
  <w:num w:numId="19" w16cid:durableId="606275560">
    <w:abstractNumId w:val="19"/>
  </w:num>
  <w:num w:numId="20" w16cid:durableId="454956662">
    <w:abstractNumId w:val="27"/>
  </w:num>
  <w:num w:numId="21" w16cid:durableId="2091462390">
    <w:abstractNumId w:val="2"/>
  </w:num>
  <w:num w:numId="22" w16cid:durableId="1117482221">
    <w:abstractNumId w:val="4"/>
  </w:num>
  <w:num w:numId="23" w16cid:durableId="709457720">
    <w:abstractNumId w:val="28"/>
  </w:num>
  <w:num w:numId="24" w16cid:durableId="1240943516">
    <w:abstractNumId w:val="29"/>
  </w:num>
  <w:num w:numId="25" w16cid:durableId="1331327204">
    <w:abstractNumId w:val="17"/>
  </w:num>
  <w:num w:numId="26" w16cid:durableId="1715931037">
    <w:abstractNumId w:val="18"/>
  </w:num>
  <w:num w:numId="27" w16cid:durableId="1675453107">
    <w:abstractNumId w:val="33"/>
  </w:num>
  <w:num w:numId="28" w16cid:durableId="2028679347">
    <w:abstractNumId w:val="9"/>
  </w:num>
  <w:num w:numId="29" w16cid:durableId="1990935604">
    <w:abstractNumId w:val="1"/>
  </w:num>
  <w:num w:numId="30" w16cid:durableId="1907907869">
    <w:abstractNumId w:val="22"/>
  </w:num>
  <w:num w:numId="31" w16cid:durableId="1468663269">
    <w:abstractNumId w:val="32"/>
  </w:num>
  <w:num w:numId="32" w16cid:durableId="451289124">
    <w:abstractNumId w:val="20"/>
  </w:num>
  <w:num w:numId="33" w16cid:durableId="1307977538">
    <w:abstractNumId w:val="21"/>
  </w:num>
  <w:num w:numId="34" w16cid:durableId="11923061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504"/>
    <w:rsid w:val="000037C3"/>
    <w:rsid w:val="00053AA9"/>
    <w:rsid w:val="000C0CF2"/>
    <w:rsid w:val="000C5747"/>
    <w:rsid w:val="00131B8D"/>
    <w:rsid w:val="0013538B"/>
    <w:rsid w:val="00160B56"/>
    <w:rsid w:val="00167982"/>
    <w:rsid w:val="001C40C1"/>
    <w:rsid w:val="001E700A"/>
    <w:rsid w:val="00225E7D"/>
    <w:rsid w:val="00234D4C"/>
    <w:rsid w:val="00237789"/>
    <w:rsid w:val="00296104"/>
    <w:rsid w:val="002A1949"/>
    <w:rsid w:val="002B3A00"/>
    <w:rsid w:val="002B7504"/>
    <w:rsid w:val="002E41C5"/>
    <w:rsid w:val="0030326E"/>
    <w:rsid w:val="0034016F"/>
    <w:rsid w:val="003664C6"/>
    <w:rsid w:val="00384261"/>
    <w:rsid w:val="00392E63"/>
    <w:rsid w:val="003C30F1"/>
    <w:rsid w:val="003D2C68"/>
    <w:rsid w:val="00402ACE"/>
    <w:rsid w:val="00410EAB"/>
    <w:rsid w:val="00424621"/>
    <w:rsid w:val="004A1591"/>
    <w:rsid w:val="004C6538"/>
    <w:rsid w:val="004F42FE"/>
    <w:rsid w:val="005123F0"/>
    <w:rsid w:val="00536E6F"/>
    <w:rsid w:val="00571643"/>
    <w:rsid w:val="00595027"/>
    <w:rsid w:val="005C6ACF"/>
    <w:rsid w:val="005E5E0E"/>
    <w:rsid w:val="00651335"/>
    <w:rsid w:val="00671405"/>
    <w:rsid w:val="006E27D3"/>
    <w:rsid w:val="006F4B93"/>
    <w:rsid w:val="006F61BA"/>
    <w:rsid w:val="006F78F0"/>
    <w:rsid w:val="007357AF"/>
    <w:rsid w:val="007713EB"/>
    <w:rsid w:val="0079607F"/>
    <w:rsid w:val="007E0CF3"/>
    <w:rsid w:val="00801027"/>
    <w:rsid w:val="00820006"/>
    <w:rsid w:val="0083420C"/>
    <w:rsid w:val="00847561"/>
    <w:rsid w:val="00881267"/>
    <w:rsid w:val="008A6195"/>
    <w:rsid w:val="008A6E5C"/>
    <w:rsid w:val="008B7BC8"/>
    <w:rsid w:val="008D494E"/>
    <w:rsid w:val="0091288C"/>
    <w:rsid w:val="009138D7"/>
    <w:rsid w:val="00925F5E"/>
    <w:rsid w:val="00983235"/>
    <w:rsid w:val="009919A0"/>
    <w:rsid w:val="009B39FC"/>
    <w:rsid w:val="00A37126"/>
    <w:rsid w:val="00AA6A9A"/>
    <w:rsid w:val="00B02736"/>
    <w:rsid w:val="00B1000B"/>
    <w:rsid w:val="00B16B47"/>
    <w:rsid w:val="00B50DD4"/>
    <w:rsid w:val="00B5325B"/>
    <w:rsid w:val="00B53FAC"/>
    <w:rsid w:val="00BA661D"/>
    <w:rsid w:val="00BD5E9F"/>
    <w:rsid w:val="00BF3D9E"/>
    <w:rsid w:val="00BF4D49"/>
    <w:rsid w:val="00C256DC"/>
    <w:rsid w:val="00C40F77"/>
    <w:rsid w:val="00C41C7F"/>
    <w:rsid w:val="00C4338F"/>
    <w:rsid w:val="00C62C1F"/>
    <w:rsid w:val="00C8173A"/>
    <w:rsid w:val="00C94EE3"/>
    <w:rsid w:val="00CF23BE"/>
    <w:rsid w:val="00D013EF"/>
    <w:rsid w:val="00D553C5"/>
    <w:rsid w:val="00D9668D"/>
    <w:rsid w:val="00DB7504"/>
    <w:rsid w:val="00DC5FDB"/>
    <w:rsid w:val="00DD5D7E"/>
    <w:rsid w:val="00DF1298"/>
    <w:rsid w:val="00E118F1"/>
    <w:rsid w:val="00E26B4E"/>
    <w:rsid w:val="00EA5240"/>
    <w:rsid w:val="00EB7B1C"/>
    <w:rsid w:val="00EF543B"/>
    <w:rsid w:val="00FE6F11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008606"/>
  <w15:chartTrackingRefBased/>
  <w15:docId w15:val="{A4B36E05-8988-4890-8F04-B54AC786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1BA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ind w:left="36"/>
      <w:jc w:val="center"/>
      <w:outlineLvl w:val="0"/>
    </w:pPr>
    <w:rPr>
      <w:rFonts w:ascii="Comic Sans MS" w:hAnsi="Comic Sans MS"/>
      <w:b/>
      <w:bCs/>
      <w:sz w:val="16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7357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F61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7357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B7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10EAB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138D7"/>
    <w:pPr>
      <w:ind w:left="720"/>
      <w:contextualSpacing/>
    </w:pPr>
    <w:rPr>
      <w:lang w:val="es-ES"/>
    </w:rPr>
  </w:style>
  <w:style w:type="character" w:styleId="Refdecomentario">
    <w:name w:val="annotation reference"/>
    <w:basedOn w:val="Fuentedeprrafopredeter"/>
    <w:rsid w:val="00392E6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92E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92E63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92E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92E63"/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392E6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92E63"/>
    <w:rPr>
      <w:rFonts w:ascii="Segoe UI" w:hAnsi="Segoe UI" w:cs="Segoe UI"/>
      <w:sz w:val="18"/>
      <w:szCs w:val="18"/>
      <w:lang w:val="es-ES_tradn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A6A9A"/>
    <w:rPr>
      <w:sz w:val="24"/>
      <w:szCs w:val="24"/>
    </w:rPr>
  </w:style>
  <w:style w:type="character" w:customStyle="1" w:styleId="Ttulo3Car">
    <w:name w:val="Título 3 Car"/>
    <w:basedOn w:val="Fuentedeprrafopredeter"/>
    <w:link w:val="Ttulo3"/>
    <w:semiHidden/>
    <w:rsid w:val="006F61B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/>
    </w:rPr>
  </w:style>
  <w:style w:type="character" w:styleId="Textoennegrita">
    <w:name w:val="Strong"/>
    <w:basedOn w:val="Fuentedeprrafopredeter"/>
    <w:uiPriority w:val="22"/>
    <w:qFormat/>
    <w:rsid w:val="006F61BA"/>
    <w:rPr>
      <w:b/>
      <w:bCs/>
    </w:rPr>
  </w:style>
  <w:style w:type="character" w:customStyle="1" w:styleId="Ttulo2Car">
    <w:name w:val="Título 2 Car"/>
    <w:basedOn w:val="Fuentedeprrafopredeter"/>
    <w:link w:val="Ttulo2"/>
    <w:semiHidden/>
    <w:rsid w:val="007357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semiHidden/>
    <w:rsid w:val="007357A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651335"/>
    <w:pPr>
      <w:spacing w:before="100" w:beforeAutospacing="1" w:after="100" w:afterAutospacing="1"/>
    </w:pPr>
    <w:rPr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26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B34CC-7595-4E69-929D-9A3487B2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CCARACTERISTICA</vt:lpstr>
    </vt:vector>
  </TitlesOfParts>
  <Company>PROEXCA</Company>
  <LinksUpToDate>false</LinksUpToDate>
  <CharactersWithSpaces>3975</CharactersWithSpaces>
  <SharedDoc>false</SharedDoc>
  <HLinks>
    <vt:vector size="12" baseType="variant"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mailto:info@proexca.es</vt:lpwstr>
      </vt:variant>
      <vt:variant>
        <vt:lpwstr/>
      </vt:variant>
      <vt:variant>
        <vt:i4>6750329</vt:i4>
      </vt:variant>
      <vt:variant>
        <vt:i4>0</vt:i4>
      </vt:variant>
      <vt:variant>
        <vt:i4>0</vt:i4>
      </vt:variant>
      <vt:variant>
        <vt:i4>5</vt:i4>
      </vt:variant>
      <vt:variant>
        <vt:lpwstr>http://www.proexca.es/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CCARACTERISTICA</dc:title>
  <dc:subject/>
  <dc:creator>Microsoft Office User</dc:creator>
  <cp:keywords/>
  <dc:description/>
  <cp:lastModifiedBy>DEBORA MARTIN ALVAREZ</cp:lastModifiedBy>
  <cp:revision>2</cp:revision>
  <cp:lastPrinted>2009-03-05T12:37:00Z</cp:lastPrinted>
  <dcterms:created xsi:type="dcterms:W3CDTF">2026-06-22T09:24:00Z</dcterms:created>
  <dcterms:modified xsi:type="dcterms:W3CDTF">2026-06-22T09:24:00Z</dcterms:modified>
</cp:coreProperties>
</file>