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BE1FD" w14:textId="77777777" w:rsidR="002A7017" w:rsidRDefault="00A72560" w:rsidP="00052CED">
      <w:pPr>
        <w:pStyle w:val="Textoindependiente"/>
        <w:ind w:left="101"/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4752ABE8" wp14:editId="4999CF67">
            <wp:extent cx="3072384" cy="411480"/>
            <wp:effectExtent l="0" t="0" r="0" b="762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384" cy="411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99968D" w14:textId="77777777" w:rsidR="002A7017" w:rsidRDefault="002A7017" w:rsidP="00052CED">
      <w:pPr>
        <w:pStyle w:val="Textoindependiente"/>
        <w:ind w:left="101"/>
        <w:rPr>
          <w:rFonts w:ascii="Times New Roman" w:hAnsi="Times New Roman"/>
          <w:sz w:val="16"/>
        </w:rPr>
      </w:pPr>
    </w:p>
    <w:p w14:paraId="513191F0" w14:textId="77777777" w:rsidR="002A7017" w:rsidRDefault="002A7017" w:rsidP="00052CED">
      <w:pPr>
        <w:pStyle w:val="Textoindependiente"/>
        <w:ind w:left="101"/>
        <w:rPr>
          <w:rFonts w:ascii="Times New Roman" w:hAnsi="Times New Roman"/>
          <w:sz w:val="16"/>
        </w:rPr>
      </w:pPr>
    </w:p>
    <w:p w14:paraId="75B8818C" w14:textId="77777777" w:rsidR="002A7017" w:rsidRDefault="002A7017" w:rsidP="00052CED">
      <w:pPr>
        <w:pStyle w:val="Textoindependiente"/>
        <w:ind w:left="101"/>
        <w:rPr>
          <w:rFonts w:ascii="Times New Roman" w:hAnsi="Times New Roman"/>
          <w:sz w:val="16"/>
        </w:rPr>
      </w:pPr>
    </w:p>
    <w:p w14:paraId="424EBE23" w14:textId="77777777" w:rsidR="002A7017" w:rsidRDefault="002A7017" w:rsidP="00052CED">
      <w:pPr>
        <w:pStyle w:val="Textoindependiente"/>
        <w:ind w:left="101"/>
        <w:rPr>
          <w:rFonts w:ascii="Times New Roman" w:hAnsi="Times New Roman"/>
          <w:sz w:val="16"/>
        </w:rPr>
      </w:pPr>
    </w:p>
    <w:p w14:paraId="61E11C4E" w14:textId="77777777" w:rsidR="002A7017" w:rsidRDefault="002A7017" w:rsidP="00052CED">
      <w:pPr>
        <w:pStyle w:val="Textoindependiente"/>
        <w:spacing w:before="180"/>
        <w:ind w:left="101"/>
        <w:rPr>
          <w:rFonts w:ascii="Times New Roman" w:hAnsi="Times New Roman"/>
          <w:sz w:val="16"/>
        </w:rPr>
      </w:pPr>
    </w:p>
    <w:p w14:paraId="1407C324" w14:textId="77777777" w:rsidR="002A7017" w:rsidRDefault="00A72560" w:rsidP="00052CED">
      <w:pPr>
        <w:ind w:left="101"/>
        <w:jc w:val="both"/>
      </w:pPr>
      <w:bookmarkStart w:id="0" w:name="DERECHO_DE_ACCESO_SOCIEDAD_CANARIA_DE_FO"/>
      <w:bookmarkEnd w:id="0"/>
      <w:r>
        <w:rPr>
          <w:rFonts w:ascii="Comic Sans MS" w:hAnsi="Comic Sans MS"/>
          <w:b/>
          <w:sz w:val="16"/>
        </w:rPr>
        <w:t>DERECHO</w:t>
      </w:r>
      <w:r>
        <w:rPr>
          <w:rFonts w:ascii="Comic Sans MS" w:hAnsi="Comic Sans MS"/>
          <w:b/>
          <w:spacing w:val="-8"/>
          <w:sz w:val="16"/>
        </w:rPr>
        <w:t xml:space="preserve"> </w:t>
      </w:r>
      <w:r>
        <w:rPr>
          <w:rFonts w:ascii="Comic Sans MS" w:hAnsi="Comic Sans MS"/>
          <w:b/>
          <w:sz w:val="16"/>
        </w:rPr>
        <w:t>DE</w:t>
      </w:r>
      <w:r>
        <w:rPr>
          <w:rFonts w:ascii="Comic Sans MS" w:hAnsi="Comic Sans MS"/>
          <w:b/>
          <w:spacing w:val="-6"/>
          <w:sz w:val="16"/>
        </w:rPr>
        <w:t xml:space="preserve"> </w:t>
      </w:r>
      <w:r>
        <w:rPr>
          <w:rFonts w:ascii="Comic Sans MS" w:hAnsi="Comic Sans MS"/>
          <w:b/>
          <w:sz w:val="16"/>
        </w:rPr>
        <w:t>ACCESO</w:t>
      </w:r>
      <w:r>
        <w:rPr>
          <w:rFonts w:ascii="Comic Sans MS" w:hAnsi="Comic Sans MS"/>
          <w:b/>
          <w:spacing w:val="-7"/>
          <w:sz w:val="16"/>
        </w:rPr>
        <w:t xml:space="preserve"> </w:t>
      </w:r>
      <w:r>
        <w:rPr>
          <w:rFonts w:ascii="Comic Sans MS" w:hAnsi="Comic Sans MS"/>
          <w:b/>
          <w:sz w:val="16"/>
        </w:rPr>
        <w:t>SOCIEDAD</w:t>
      </w:r>
      <w:r>
        <w:rPr>
          <w:rFonts w:ascii="Comic Sans MS" w:hAnsi="Comic Sans MS"/>
          <w:b/>
          <w:spacing w:val="-8"/>
          <w:sz w:val="16"/>
        </w:rPr>
        <w:t xml:space="preserve"> </w:t>
      </w:r>
      <w:r>
        <w:rPr>
          <w:rFonts w:ascii="Comic Sans MS" w:hAnsi="Comic Sans MS"/>
          <w:b/>
          <w:sz w:val="16"/>
        </w:rPr>
        <w:t>CANARIA</w:t>
      </w:r>
      <w:r>
        <w:rPr>
          <w:rFonts w:ascii="Comic Sans MS" w:hAnsi="Comic Sans MS"/>
          <w:b/>
          <w:spacing w:val="-6"/>
          <w:sz w:val="16"/>
        </w:rPr>
        <w:t xml:space="preserve"> </w:t>
      </w:r>
      <w:r>
        <w:rPr>
          <w:rFonts w:ascii="Comic Sans MS" w:hAnsi="Comic Sans MS"/>
          <w:b/>
          <w:sz w:val="16"/>
        </w:rPr>
        <w:t>DE</w:t>
      </w:r>
      <w:r>
        <w:rPr>
          <w:rFonts w:ascii="Comic Sans MS" w:hAnsi="Comic Sans MS"/>
          <w:b/>
          <w:spacing w:val="-6"/>
          <w:sz w:val="16"/>
        </w:rPr>
        <w:t xml:space="preserve"> </w:t>
      </w:r>
      <w:r>
        <w:rPr>
          <w:rFonts w:ascii="Comic Sans MS" w:hAnsi="Comic Sans MS"/>
          <w:b/>
          <w:sz w:val="16"/>
        </w:rPr>
        <w:t>FOMENTO</w:t>
      </w:r>
      <w:r>
        <w:rPr>
          <w:rFonts w:ascii="Comic Sans MS" w:hAnsi="Comic Sans MS"/>
          <w:b/>
          <w:spacing w:val="-10"/>
          <w:sz w:val="16"/>
        </w:rPr>
        <w:t xml:space="preserve"> </w:t>
      </w:r>
      <w:r>
        <w:rPr>
          <w:rFonts w:ascii="Comic Sans MS" w:hAnsi="Comic Sans MS"/>
          <w:b/>
          <w:sz w:val="16"/>
        </w:rPr>
        <w:t>ECONÓMICO</w:t>
      </w:r>
      <w:r>
        <w:rPr>
          <w:rFonts w:ascii="Comic Sans MS" w:hAnsi="Comic Sans MS"/>
          <w:b/>
          <w:spacing w:val="-7"/>
          <w:sz w:val="16"/>
        </w:rPr>
        <w:t xml:space="preserve"> </w:t>
      </w:r>
      <w:r>
        <w:rPr>
          <w:rFonts w:ascii="Comic Sans MS" w:hAnsi="Comic Sans MS"/>
          <w:b/>
          <w:spacing w:val="-5"/>
          <w:sz w:val="16"/>
        </w:rPr>
        <w:t>SA</w:t>
      </w:r>
    </w:p>
    <w:p w14:paraId="08D5F7A6" w14:textId="77777777" w:rsidR="002A7017" w:rsidRDefault="002A7017" w:rsidP="00052CED">
      <w:pPr>
        <w:pStyle w:val="Textoindependiente"/>
        <w:spacing w:before="71"/>
        <w:ind w:left="101"/>
        <w:rPr>
          <w:rFonts w:ascii="Comic Sans MS" w:hAnsi="Comic Sans MS"/>
          <w:b/>
          <w:sz w:val="16"/>
        </w:rPr>
      </w:pPr>
    </w:p>
    <w:p w14:paraId="4E6F1A61" w14:textId="77777777" w:rsidR="00052CED" w:rsidRPr="00052CED" w:rsidRDefault="00052CED" w:rsidP="00052CED">
      <w:pPr>
        <w:pStyle w:val="Ttulo1"/>
        <w:rPr>
          <w:color w:val="006FC0"/>
        </w:rPr>
      </w:pPr>
      <w:r w:rsidRPr="00052CED">
        <w:rPr>
          <w:color w:val="006FC0"/>
        </w:rPr>
        <w:t>18.- Derecho de acceso</w:t>
      </w:r>
    </w:p>
    <w:p w14:paraId="1753DB39" w14:textId="77777777" w:rsidR="00052CED" w:rsidRPr="00052CED" w:rsidRDefault="00052CED" w:rsidP="00052CED">
      <w:pPr>
        <w:pStyle w:val="Ttulo1"/>
        <w:rPr>
          <w:color w:val="006FC0"/>
        </w:rPr>
      </w:pPr>
      <w:r w:rsidRPr="00052CED">
        <w:rPr>
          <w:color w:val="006FC0"/>
        </w:rPr>
        <w:t>18.1.- Unidades de información</w:t>
      </w:r>
    </w:p>
    <w:p w14:paraId="070DE756" w14:textId="77777777" w:rsidR="00052CED" w:rsidRPr="00052CED" w:rsidRDefault="00052CED" w:rsidP="00052CED">
      <w:pPr>
        <w:pStyle w:val="Ttulo1"/>
        <w:rPr>
          <w:color w:val="006FC0"/>
        </w:rPr>
      </w:pPr>
      <w:r w:rsidRPr="00052CED">
        <w:rPr>
          <w:color w:val="006FC0"/>
        </w:rPr>
        <w:t>18.1.1.- Órgano competente en materia de derecho de acceso. (1198)</w:t>
      </w:r>
    </w:p>
    <w:p w14:paraId="3B70889D" w14:textId="77777777" w:rsidR="00052CED" w:rsidRDefault="00052CED" w:rsidP="00052CED">
      <w:pPr>
        <w:pStyle w:val="Textoindependiente"/>
        <w:spacing w:before="275"/>
        <w:ind w:left="101"/>
      </w:pPr>
      <w:r>
        <w:t>PROEXCA pertenece a la URIP de la Consejería de Economía, Conocimiento y Empleo responsable y encargada de gestionar las solicitudes de información. Por lo que, las solicitudes se deben realizan a través de la Consejería de Economía, Conocimiento y Empleo, ya que no disponemos de registro público.</w:t>
      </w:r>
    </w:p>
    <w:p w14:paraId="12854C49" w14:textId="77777777" w:rsidR="00052CED" w:rsidRDefault="00052CED" w:rsidP="00052CED">
      <w:pPr>
        <w:pStyle w:val="Textoindependiente"/>
        <w:spacing w:before="275"/>
        <w:ind w:left="101"/>
      </w:pPr>
      <w:r>
        <w:t>La información sobre las siguientes obligaciones se puede encontrar en el siguiente enlace BOC 31 de 7 de febrero</w:t>
      </w:r>
    </w:p>
    <w:p w14:paraId="202CA3DE" w14:textId="77777777" w:rsidR="00052CED" w:rsidRPr="00052CED" w:rsidRDefault="00052CED" w:rsidP="00052CED">
      <w:pPr>
        <w:pStyle w:val="Textoindependiente"/>
        <w:spacing w:before="275"/>
        <w:ind w:left="101"/>
        <w:rPr>
          <w:lang w:val="en-US"/>
        </w:rPr>
      </w:pPr>
      <w:r w:rsidRPr="00052CED">
        <w:rPr>
          <w:lang w:val="en-US"/>
        </w:rPr>
        <w:t>2022-2025 (Rev. Abr-2026) (PDF)(DOCX)(ODT)</w:t>
      </w:r>
    </w:p>
    <w:p w14:paraId="0F1EAEE3" w14:textId="77777777" w:rsidR="00052CED" w:rsidRDefault="00052CED" w:rsidP="00052CED">
      <w:pPr>
        <w:pStyle w:val="Ttulo1"/>
        <w:rPr>
          <w:color w:val="006FC0"/>
          <w:lang w:val="en-US"/>
        </w:rPr>
      </w:pPr>
    </w:p>
    <w:p w14:paraId="6B9737BD" w14:textId="209BABE8" w:rsidR="00052CED" w:rsidRPr="00052CED" w:rsidRDefault="00052CED" w:rsidP="00052CED">
      <w:pPr>
        <w:pStyle w:val="Ttulo1"/>
        <w:rPr>
          <w:color w:val="006FC0"/>
        </w:rPr>
      </w:pPr>
      <w:r w:rsidRPr="00052CED">
        <w:rPr>
          <w:color w:val="006FC0"/>
        </w:rPr>
        <w:t>18.2.- Resoluciones denegatorias</w:t>
      </w:r>
    </w:p>
    <w:p w14:paraId="2342416D" w14:textId="55C182F7" w:rsidR="00052CED" w:rsidRDefault="00052CED" w:rsidP="00052CED">
      <w:pPr>
        <w:pStyle w:val="Textoindependiente"/>
        <w:ind w:left="101"/>
        <w:rPr>
          <w:b/>
          <w:bCs/>
          <w:color w:val="006FC0"/>
        </w:rPr>
      </w:pPr>
      <w:r w:rsidRPr="00052CED">
        <w:rPr>
          <w:b/>
          <w:bCs/>
          <w:color w:val="006FC0"/>
        </w:rPr>
        <w:t>18.2.1.- Resoluciones denegatorias previa disociación de los datos de carácter personal.</w:t>
      </w:r>
      <w:r>
        <w:t xml:space="preserve"> </w:t>
      </w:r>
      <w:r w:rsidRPr="00052CED">
        <w:rPr>
          <w:b/>
          <w:bCs/>
          <w:color w:val="006FC0"/>
        </w:rPr>
        <w:t>(</w:t>
      </w:r>
      <w:proofErr w:type="gramStart"/>
      <w:r w:rsidRPr="00052CED">
        <w:rPr>
          <w:b/>
          <w:bCs/>
          <w:color w:val="006FC0"/>
        </w:rPr>
        <w:t>1199)(</w:t>
      </w:r>
      <w:proofErr w:type="gramEnd"/>
      <w:r w:rsidRPr="00052CED">
        <w:rPr>
          <w:b/>
          <w:bCs/>
          <w:color w:val="006FC0"/>
        </w:rPr>
        <w:t>Rev. Abr-2026)</w:t>
      </w:r>
    </w:p>
    <w:p w14:paraId="7BCA189D" w14:textId="77777777" w:rsidR="00052CED" w:rsidRPr="00052CED" w:rsidRDefault="00052CED" w:rsidP="00052CED">
      <w:pPr>
        <w:pStyle w:val="Textoindependiente"/>
        <w:ind w:left="101"/>
        <w:rPr>
          <w:b/>
          <w:bCs/>
          <w:color w:val="006FC0"/>
        </w:rPr>
      </w:pPr>
    </w:p>
    <w:p w14:paraId="7ADBBD83" w14:textId="77777777" w:rsidR="00052CED" w:rsidRPr="00052CED" w:rsidRDefault="00052CED" w:rsidP="00052CED">
      <w:pPr>
        <w:widowControl/>
        <w:numPr>
          <w:ilvl w:val="0"/>
          <w:numId w:val="2"/>
        </w:numPr>
        <w:shd w:val="clear" w:color="auto" w:fill="F0F4F7"/>
        <w:suppressAutoHyphens w:val="0"/>
        <w:autoSpaceDE/>
        <w:autoSpaceDN/>
        <w:ind w:left="1170"/>
        <w:textAlignment w:val="baseline"/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</w:pP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No disponemos de Resoluciones denegatorias previa disociación de los datos de carácter personal 2021-2025. (Rev. Abr-2026)  (</w:t>
      </w:r>
      <w:hyperlink r:id="rId8" w:tgtFrame="_blank" w:history="1">
        <w:r w:rsidRPr="00052CED">
          <w:rPr>
            <w:rFonts w:ascii="Montserrat" w:eastAsia="Times New Roman" w:hAnsi="Montserrat" w:cs="Times New Roman"/>
            <w:color w:val="F27D00"/>
            <w:sz w:val="21"/>
            <w:szCs w:val="21"/>
            <w:u w:val="single"/>
            <w:bdr w:val="none" w:sz="0" w:space="0" w:color="auto" w:frame="1"/>
            <w:lang w:eastAsia="es-ES"/>
          </w:rPr>
          <w:t>xlsx</w:t>
        </w:r>
      </w:hyperlink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) (</w:t>
      </w:r>
      <w:proofErr w:type="spellStart"/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begin"/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instrText xml:space="preserve"> HYPERLINK "https://transparencia.proexca.es/wp-content/uploads/2026/04/1199-Resoluciones-denegatorias-rev26.ods" \t "_blank" </w:instrText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separate"/>
      </w:r>
      <w:r w:rsidRPr="00052CED">
        <w:rPr>
          <w:rFonts w:ascii="Montserrat" w:eastAsia="Times New Roman" w:hAnsi="Montserrat" w:cs="Times New Roman"/>
          <w:color w:val="F27D00"/>
          <w:sz w:val="21"/>
          <w:szCs w:val="21"/>
          <w:u w:val="single"/>
          <w:bdr w:val="none" w:sz="0" w:space="0" w:color="auto" w:frame="1"/>
          <w:lang w:eastAsia="es-ES"/>
        </w:rPr>
        <w:t>ods</w:t>
      </w:r>
      <w:proofErr w:type="spellEnd"/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end"/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) (</w:t>
      </w:r>
      <w:proofErr w:type="spellStart"/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begin"/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instrText xml:space="preserve"> HYPERLINK "https://transparencia.proexca.es/wp-content/uploads/2026/04/1199-Resoluciones-denegatorias-rev26.pdf" \t "_blank" </w:instrText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separate"/>
      </w:r>
      <w:r w:rsidRPr="00052CED">
        <w:rPr>
          <w:rFonts w:ascii="Montserrat" w:eastAsia="Times New Roman" w:hAnsi="Montserrat" w:cs="Times New Roman"/>
          <w:color w:val="F27D00"/>
          <w:sz w:val="21"/>
          <w:szCs w:val="21"/>
          <w:u w:val="single"/>
          <w:bdr w:val="none" w:sz="0" w:space="0" w:color="auto" w:frame="1"/>
          <w:lang w:eastAsia="es-ES"/>
        </w:rPr>
        <w:t>pdf</w:t>
      </w:r>
      <w:proofErr w:type="spellEnd"/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end"/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)</w:t>
      </w:r>
    </w:p>
    <w:p w14:paraId="7EFB25F0" w14:textId="77777777" w:rsidR="00052CED" w:rsidRDefault="00052CED" w:rsidP="00052CED">
      <w:pPr>
        <w:pStyle w:val="Textoindependiente"/>
        <w:spacing w:before="275"/>
        <w:ind w:left="101"/>
      </w:pPr>
    </w:p>
    <w:p w14:paraId="5F9D0E6A" w14:textId="77777777" w:rsidR="00052CED" w:rsidRPr="00052CED" w:rsidRDefault="00052CED" w:rsidP="00052CED">
      <w:pPr>
        <w:pStyle w:val="Ttulo1"/>
        <w:rPr>
          <w:color w:val="006FC0"/>
        </w:rPr>
      </w:pPr>
      <w:r w:rsidRPr="00052CED">
        <w:rPr>
          <w:color w:val="006FC0"/>
        </w:rPr>
        <w:t>18.3.- Estadísticas de derecho de acceso</w:t>
      </w:r>
    </w:p>
    <w:p w14:paraId="273ED126" w14:textId="77777777" w:rsidR="00052CED" w:rsidRPr="00052CED" w:rsidRDefault="00052CED" w:rsidP="00052CED">
      <w:pPr>
        <w:pStyle w:val="Ttulo1"/>
        <w:rPr>
          <w:color w:val="006FC0"/>
        </w:rPr>
      </w:pPr>
      <w:r w:rsidRPr="00052CED">
        <w:rPr>
          <w:color w:val="006FC0"/>
        </w:rPr>
        <w:t>18.3.1.- Información estadística sobre las resoluciones de las solicitudes de derecho de acceso a la información pública. (</w:t>
      </w:r>
      <w:proofErr w:type="gramStart"/>
      <w:r w:rsidRPr="00052CED">
        <w:rPr>
          <w:color w:val="006FC0"/>
        </w:rPr>
        <w:t>1201)(</w:t>
      </w:r>
      <w:proofErr w:type="gramEnd"/>
      <w:r w:rsidRPr="00052CED">
        <w:rPr>
          <w:color w:val="006FC0"/>
        </w:rPr>
        <w:t>Rev. Abr-2026)</w:t>
      </w:r>
    </w:p>
    <w:p w14:paraId="2FEA7413" w14:textId="77777777" w:rsidR="00052CED" w:rsidRDefault="00052CED" w:rsidP="00052CED">
      <w:pPr>
        <w:pStyle w:val="Textoindependiente"/>
        <w:spacing w:before="275"/>
        <w:ind w:left="101"/>
      </w:pPr>
      <w:r>
        <w:t>En este apartado se muestran datos estadísticos sobre la resolución de las solicitudes de acceso a su información pública en el periodo 2021-2025.</w:t>
      </w:r>
    </w:p>
    <w:p w14:paraId="55026C7E" w14:textId="77777777" w:rsidR="00052CED" w:rsidRPr="00052CED" w:rsidRDefault="00052CED" w:rsidP="00052CED">
      <w:pPr>
        <w:widowControl/>
        <w:numPr>
          <w:ilvl w:val="0"/>
          <w:numId w:val="1"/>
        </w:numPr>
        <w:shd w:val="clear" w:color="auto" w:fill="F0F4F7"/>
        <w:suppressAutoHyphens w:val="0"/>
        <w:autoSpaceDE/>
        <w:autoSpaceDN/>
        <w:ind w:left="1170"/>
        <w:textAlignment w:val="baseline"/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</w:pP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Estadística resolución solicitudes de acceso Ejercicios 2021-2024 (Rev. Abr-2026)  </w:t>
      </w:r>
      <w:hyperlink r:id="rId9" w:tgtFrame="_blank" w:history="1">
        <w:r w:rsidRPr="00052CED">
          <w:rPr>
            <w:rFonts w:ascii="Montserrat" w:eastAsia="Times New Roman" w:hAnsi="Montserrat" w:cs="Times New Roman"/>
            <w:color w:val="F27D00"/>
            <w:sz w:val="21"/>
            <w:szCs w:val="21"/>
            <w:u w:val="single"/>
            <w:bdr w:val="none" w:sz="0" w:space="0" w:color="auto" w:frame="1"/>
            <w:lang w:eastAsia="es-ES"/>
          </w:rPr>
          <w:t>(xlsx)</w:t>
        </w:r>
      </w:hyperlink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 </w:t>
      </w:r>
      <w:hyperlink r:id="rId10" w:tgtFrame="_blank" w:history="1">
        <w:r w:rsidRPr="00052CED">
          <w:rPr>
            <w:rFonts w:ascii="Montserrat" w:eastAsia="Times New Roman" w:hAnsi="Montserrat" w:cs="Times New Roman"/>
            <w:color w:val="F27D00"/>
            <w:sz w:val="21"/>
            <w:szCs w:val="21"/>
            <w:u w:val="single"/>
            <w:bdr w:val="none" w:sz="0" w:space="0" w:color="auto" w:frame="1"/>
            <w:lang w:eastAsia="es-ES"/>
          </w:rPr>
          <w:t>(</w:t>
        </w:r>
        <w:proofErr w:type="spellStart"/>
        <w:r w:rsidRPr="00052CED">
          <w:rPr>
            <w:rFonts w:ascii="Montserrat" w:eastAsia="Times New Roman" w:hAnsi="Montserrat" w:cs="Times New Roman"/>
            <w:color w:val="F27D00"/>
            <w:sz w:val="21"/>
            <w:szCs w:val="21"/>
            <w:u w:val="single"/>
            <w:bdr w:val="none" w:sz="0" w:space="0" w:color="auto" w:frame="1"/>
            <w:lang w:eastAsia="es-ES"/>
          </w:rPr>
          <w:t>ods</w:t>
        </w:r>
        <w:proofErr w:type="spellEnd"/>
        <w:r w:rsidRPr="00052CED">
          <w:rPr>
            <w:rFonts w:ascii="Montserrat" w:eastAsia="Times New Roman" w:hAnsi="Montserrat" w:cs="Times New Roman"/>
            <w:color w:val="F27D00"/>
            <w:sz w:val="21"/>
            <w:szCs w:val="21"/>
            <w:u w:val="single"/>
            <w:bdr w:val="none" w:sz="0" w:space="0" w:color="auto" w:frame="1"/>
            <w:lang w:eastAsia="es-ES"/>
          </w:rPr>
          <w:t>)</w:t>
        </w:r>
      </w:hyperlink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 (</w:t>
      </w:r>
      <w:proofErr w:type="spellStart"/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begin"/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instrText xml:space="preserve"> HYPERLINK "https://transparencia.proexca.es/wp-content/uploads/2026/04/1201-Informacion-estadistica-derecho-de-acceso-rev26.pdf" \t "_blank" </w:instrText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separate"/>
      </w:r>
      <w:r w:rsidRPr="00052CED">
        <w:rPr>
          <w:rFonts w:ascii="Montserrat" w:eastAsia="Times New Roman" w:hAnsi="Montserrat" w:cs="Times New Roman"/>
          <w:color w:val="F27D00"/>
          <w:sz w:val="21"/>
          <w:szCs w:val="21"/>
          <w:u w:val="single"/>
          <w:bdr w:val="none" w:sz="0" w:space="0" w:color="auto" w:frame="1"/>
          <w:lang w:eastAsia="es-ES"/>
        </w:rPr>
        <w:t>pdf</w:t>
      </w:r>
      <w:proofErr w:type="spellEnd"/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fldChar w:fldCharType="end"/>
      </w:r>
      <w:r w:rsidRPr="00052CED">
        <w:rPr>
          <w:rFonts w:ascii="Montserrat" w:eastAsia="Times New Roman" w:hAnsi="Montserrat" w:cs="Times New Roman"/>
          <w:color w:val="676767"/>
          <w:sz w:val="21"/>
          <w:szCs w:val="21"/>
          <w:lang w:eastAsia="es-ES"/>
        </w:rPr>
        <w:t>)</w:t>
      </w:r>
    </w:p>
    <w:p w14:paraId="22230659" w14:textId="77777777" w:rsidR="00052CED" w:rsidRDefault="00052CED" w:rsidP="00052CED">
      <w:pPr>
        <w:pStyle w:val="Textoindependiente"/>
        <w:ind w:left="101"/>
      </w:pPr>
    </w:p>
    <w:p w14:paraId="7F9D0EEE" w14:textId="1EA45A25" w:rsidR="002A7017" w:rsidRDefault="00A72560" w:rsidP="00052CED">
      <w:pPr>
        <w:pStyle w:val="Textoindependiente"/>
        <w:ind w:left="101"/>
      </w:pPr>
      <w:r>
        <w:t>Datos</w:t>
      </w:r>
      <w:r>
        <w:rPr>
          <w:spacing w:val="-4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sectPr w:rsidR="002A7017" w:rsidSect="00052CED">
      <w:pgSz w:w="11910" w:h="16840"/>
      <w:pgMar w:top="1240" w:right="1137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AC027" w14:textId="77777777" w:rsidR="00A72560" w:rsidRDefault="00A72560">
      <w:r>
        <w:separator/>
      </w:r>
    </w:p>
  </w:endnote>
  <w:endnote w:type="continuationSeparator" w:id="0">
    <w:p w14:paraId="1FF9DC51" w14:textId="77777777" w:rsidR="00A72560" w:rsidRDefault="00A7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1E9F" w14:textId="77777777" w:rsidR="00A72560" w:rsidRDefault="00A72560">
      <w:r>
        <w:rPr>
          <w:color w:val="000000"/>
        </w:rPr>
        <w:separator/>
      </w:r>
    </w:p>
  </w:footnote>
  <w:footnote w:type="continuationSeparator" w:id="0">
    <w:p w14:paraId="47BD3E05" w14:textId="77777777" w:rsidR="00A72560" w:rsidRDefault="00A7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105A"/>
    <w:multiLevelType w:val="multilevel"/>
    <w:tmpl w:val="DB3E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86273"/>
    <w:multiLevelType w:val="multilevel"/>
    <w:tmpl w:val="3156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017"/>
    <w:rsid w:val="00052CED"/>
    <w:rsid w:val="002A7017"/>
    <w:rsid w:val="00A72560"/>
    <w:rsid w:val="00E36136"/>
    <w:rsid w:val="00EB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8D22"/>
  <w15:docId w15:val="{F77C7150-5210-4E35-8410-22204FDE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cs="Calibri"/>
      <w:lang w:val="es-ES"/>
    </w:rPr>
  </w:style>
  <w:style w:type="paragraph" w:styleId="Ttulo1">
    <w:name w:val="heading 1"/>
    <w:basedOn w:val="Normal"/>
    <w:uiPriority w:val="9"/>
    <w:qFormat/>
    <w:pPr>
      <w:ind w:left="10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2C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2C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C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4"/>
      <w:szCs w:val="24"/>
    </w:rPr>
  </w:style>
  <w:style w:type="paragraph" w:styleId="Prrafodelista">
    <w:name w:val="List Paragraph"/>
    <w:basedOn w:val="Normal"/>
  </w:style>
  <w:style w:type="paragraph" w:customStyle="1" w:styleId="TableParagraph">
    <w:name w:val="Table Paragraph"/>
    <w:basedOn w:val="Normal"/>
  </w:style>
  <w:style w:type="character" w:customStyle="1" w:styleId="Ttulo2Car">
    <w:name w:val="Título 2 Car"/>
    <w:basedOn w:val="Fuentedeprrafopredeter"/>
    <w:link w:val="Ttulo2"/>
    <w:uiPriority w:val="9"/>
    <w:semiHidden/>
    <w:rsid w:val="00052C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ED"/>
    <w:rPr>
      <w:rFonts w:asciiTheme="majorHAnsi" w:eastAsiaTheme="majorEastAsia" w:hAnsiTheme="majorHAnsi" w:cstheme="majorBidi"/>
      <w:i/>
      <w:iCs/>
      <w:color w:val="2F5496" w:themeColor="accent1" w:themeShade="BF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052C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.proexca.es/wp-content/uploads/2026/04/1199-Resoluciones-denegatorias-rev26.xls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ransparencia.proexca.es/wp-content/uploads/2026/04/1201-Informacion-estadistica-derecho-de-acceso-rev26.o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arencia.proexca.es/wp-content/uploads/2026/04/1201-Informacion-estadistica-derecho-de-acceso-rev26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dc:description/>
  <cp:lastModifiedBy>Jose Gregorio Rodríguez</cp:lastModifiedBy>
  <cp:revision>2</cp:revision>
  <dcterms:created xsi:type="dcterms:W3CDTF">2026-04-22T09:34:00Z</dcterms:created>
  <dcterms:modified xsi:type="dcterms:W3CDTF">2026-04-22T09:34:00Z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2025-04-08T00:00:00Z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D:20240219105647</vt:lpwstr>
  </property>
</Properties>
</file>