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0121"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t xml:space="preserve">La Sociedad Canaria de Fomento Económico, S.A. (PROEXCA) como sociedad mercantil con capital íntegramente público, adscrita a la </w:t>
      </w:r>
      <w:r>
        <w:rPr>
          <w:rFonts w:ascii="Calibri" w:hAnsi="Calibri" w:cs="Calibri"/>
          <w:sz w:val="24"/>
          <w:szCs w:val="24"/>
        </w:rPr>
        <w:t>Presidencia</w:t>
      </w:r>
      <w:r w:rsidRPr="000C3017">
        <w:rPr>
          <w:rFonts w:ascii="Calibri" w:hAnsi="Calibri" w:cs="Calibri"/>
          <w:sz w:val="24"/>
          <w:szCs w:val="24"/>
        </w:rPr>
        <w:t xml:space="preserve"> del Gobierno de Canarias, dentro de su objeto social tiene como cometido, entre otros, el de impulsar la política de comercio exterior del Gobierno de Canarias, así como promover la internacionalización de la empresa canaria fomentando asimismo la competitividad de nuestras empresas en el exterior, fortalecer el tejido empresarial canario dotando al mismo de técnicos especializados en comercio exterior y atraer inversiones de sectores estratégicos hacia Canarias.</w:t>
      </w:r>
    </w:p>
    <w:p w14:paraId="09F34694" w14:textId="77777777" w:rsidR="00EB3E9F" w:rsidRPr="000C3017" w:rsidRDefault="00EB3E9F" w:rsidP="00EB3E9F">
      <w:pPr>
        <w:rPr>
          <w:rFonts w:ascii="Calibri" w:hAnsi="Calibri" w:cs="Calibri"/>
          <w:b/>
          <w:sz w:val="24"/>
          <w:szCs w:val="24"/>
          <w:lang w:eastAsia="es-ES"/>
        </w:rPr>
      </w:pPr>
      <w:r w:rsidRPr="000C3017">
        <w:rPr>
          <w:rFonts w:ascii="Calibri" w:hAnsi="Calibri" w:cs="Calibri"/>
          <w:b/>
          <w:sz w:val="24"/>
          <w:szCs w:val="24"/>
          <w:lang w:eastAsia="es-ES"/>
        </w:rPr>
        <w:t>SEDES EN CANARIAS</w:t>
      </w:r>
    </w:p>
    <w:p w14:paraId="54E74B58" w14:textId="77777777" w:rsidR="00EB3E9F" w:rsidRPr="000C3017" w:rsidRDefault="00EB3E9F" w:rsidP="00EB3E9F">
      <w:pPr>
        <w:rPr>
          <w:rFonts w:ascii="Calibri" w:hAnsi="Calibri" w:cs="Calibri"/>
          <w:sz w:val="24"/>
          <w:szCs w:val="24"/>
          <w:lang w:eastAsia="es-ES"/>
        </w:rPr>
      </w:pPr>
      <w:r w:rsidRPr="000C3017">
        <w:rPr>
          <w:rFonts w:ascii="Calibri" w:hAnsi="Calibri" w:cs="Calibri"/>
          <w:sz w:val="24"/>
          <w:szCs w:val="24"/>
          <w:lang w:eastAsia="es-ES"/>
        </w:rPr>
        <w:t xml:space="preserve">PROEXCA en Las Palmas de Gran Canaria C/Emilio Castelar 4, 5ª planta y C/Nicolás Estévanez 30, 2ª planta. </w:t>
      </w:r>
    </w:p>
    <w:p w14:paraId="484255EC" w14:textId="77777777" w:rsidR="00EB3E9F" w:rsidRPr="000C3017" w:rsidRDefault="00EB3E9F" w:rsidP="00EB3E9F">
      <w:pPr>
        <w:rPr>
          <w:rFonts w:ascii="Calibri" w:hAnsi="Calibri" w:cs="Calibri"/>
          <w:sz w:val="24"/>
          <w:szCs w:val="24"/>
          <w:lang w:eastAsia="es-ES"/>
        </w:rPr>
      </w:pPr>
      <w:r w:rsidRPr="000C3017">
        <w:rPr>
          <w:rFonts w:ascii="Calibri" w:hAnsi="Calibri" w:cs="Calibri"/>
          <w:sz w:val="24"/>
          <w:szCs w:val="24"/>
          <w:lang w:eastAsia="es-ES"/>
        </w:rPr>
        <w:t xml:space="preserve">PROEXCA en Santa Cruz de Tenerife C/ Imeldo Seris 57, 4ª-6ª planta. </w:t>
      </w:r>
    </w:p>
    <w:p w14:paraId="33E7083D" w14:textId="77777777" w:rsidR="00EB3E9F" w:rsidRPr="000C3017" w:rsidRDefault="00EB3E9F" w:rsidP="00EB3E9F">
      <w:pPr>
        <w:rPr>
          <w:rFonts w:ascii="Calibri" w:hAnsi="Calibri" w:cs="Calibri"/>
          <w:b/>
          <w:sz w:val="24"/>
          <w:szCs w:val="24"/>
          <w:lang w:eastAsia="es-ES"/>
        </w:rPr>
      </w:pPr>
      <w:r w:rsidRPr="000C3017">
        <w:rPr>
          <w:rFonts w:ascii="Calibri" w:hAnsi="Calibri" w:cs="Calibri"/>
          <w:b/>
          <w:sz w:val="24"/>
          <w:szCs w:val="24"/>
          <w:lang w:eastAsia="es-ES"/>
        </w:rPr>
        <w:t>INFORMACIÓN HISTÓRICA</w:t>
      </w:r>
    </w:p>
    <w:p w14:paraId="4133ED44"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t>El Gobierno de Canarias, en la década de los noventa, era titular del accionariado de dos empresas en las que depositó una parte de las acciones relacionadas con sus políticas de desarrollo económico, de atracción de inversiones hacia Canarias y de fomento de las exportaciones de productos canarios, hacia los mercados tradicionales y África.</w:t>
      </w:r>
    </w:p>
    <w:p w14:paraId="00223322"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t>Promociones Exteriores Canarias, S.A. (en anagrama PROEXCA), constituida el 8 de abril de 1985, desarrollaba las labores de promoción en el mercado europeo de productos canarios, tales como el puro, el tomate, los quesos, el vino etc, así como el comercio general con África, al tiempo que acompañaba a las empresas canarias que se decidían a invertir en negocios en el exterior.</w:t>
      </w:r>
    </w:p>
    <w:p w14:paraId="3B104245"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t>La Sociedad Canaria de Fomento Económico, S.A. (en anagrama SOFESA), constituida el 19 de noviembre de 1991, era la encargada de prestar apoyo logístico a las oficinas institucionales en el exterior del Gobierno de Canarias. Gestionaba ciertos trámites del REA por encargo de la Dirección General de Promoción Económica y se ocupaba de determinadas políticas de impulso y ayuda a las PYMES, especialmente en aspectos relacionados con la innovación y nuevas tecnologías. Promovía la inversión exterior en Canarias, gestionaba fondos de cooperación internacional y ayudaba a las empresas canarias que se planteaban una inversión en el exterior (América Latina). En esto último coincidiendo con PROEXCA aunque en distintos ámbitos geográficos.</w:t>
      </w:r>
    </w:p>
    <w:p w14:paraId="79CB1D44"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t xml:space="preserve">Con fecha de 7 de enero de 2003, se produce la fusión por absorción de estas dos empresas, siendo la sociedad absorbente Sociedad Canaria Fomento Económico, S.A. y manteniéndose el anagrama de PROEXCA. </w:t>
      </w:r>
    </w:p>
    <w:p w14:paraId="002EBDE1" w14:textId="77777777" w:rsidR="00EB3E9F" w:rsidRPr="000C3017" w:rsidRDefault="00EB3E9F" w:rsidP="00EB3E9F">
      <w:pPr>
        <w:jc w:val="both"/>
        <w:rPr>
          <w:rFonts w:ascii="Calibri" w:hAnsi="Calibri" w:cs="Calibri"/>
          <w:sz w:val="24"/>
          <w:szCs w:val="24"/>
        </w:rPr>
      </w:pPr>
      <w:r w:rsidRPr="000C3017">
        <w:rPr>
          <w:rFonts w:ascii="Calibri" w:hAnsi="Calibri" w:cs="Calibri"/>
          <w:sz w:val="24"/>
          <w:szCs w:val="24"/>
        </w:rPr>
        <w:lastRenderedPageBreak/>
        <w:t>Con la fusión, la nueva empresa suma las capacidades y cometidos de ambas fusionadas con vocación de aprovechamiento de las sinergias derivadas de acometer estas actividades desde una nueva estructura común.</w:t>
      </w:r>
    </w:p>
    <w:p w14:paraId="1C37241A" w14:textId="77777777" w:rsidR="00EB3E9F" w:rsidRPr="000C3017" w:rsidRDefault="00EB3E9F" w:rsidP="00EB3E9F">
      <w:pPr>
        <w:jc w:val="both"/>
        <w:rPr>
          <w:rFonts w:ascii="Calibri" w:hAnsi="Calibri" w:cs="Calibri"/>
          <w:sz w:val="24"/>
          <w:szCs w:val="24"/>
        </w:rPr>
      </w:pPr>
    </w:p>
    <w:p w14:paraId="0A70B83E" w14:textId="77777777" w:rsidR="00EB3E9F" w:rsidRPr="000C3017" w:rsidRDefault="00EB3E9F" w:rsidP="00EB3E9F">
      <w:pPr>
        <w:rPr>
          <w:rFonts w:ascii="Calibri" w:hAnsi="Calibri" w:cs="Calibri"/>
          <w:b/>
          <w:sz w:val="24"/>
          <w:szCs w:val="24"/>
          <w:lang w:eastAsia="es-ES"/>
        </w:rPr>
      </w:pPr>
      <w:r w:rsidRPr="000C3017">
        <w:rPr>
          <w:rFonts w:ascii="Calibri" w:hAnsi="Calibri" w:cs="Calibri"/>
          <w:b/>
          <w:sz w:val="24"/>
          <w:szCs w:val="24"/>
          <w:lang w:eastAsia="es-ES"/>
        </w:rPr>
        <w:t>INFORMACIÓN ECONÓMICA</w:t>
      </w:r>
    </w:p>
    <w:p w14:paraId="2158C644" w14:textId="00B52D92" w:rsidR="00EB3E9F" w:rsidRDefault="00EB3E9F" w:rsidP="00EB3E9F">
      <w:pPr>
        <w:jc w:val="both"/>
        <w:rPr>
          <w:rFonts w:ascii="Calibri" w:hAnsi="Calibri" w:cs="Calibri"/>
          <w:sz w:val="24"/>
          <w:szCs w:val="24"/>
        </w:rPr>
      </w:pPr>
      <w:r w:rsidRPr="000C3017">
        <w:rPr>
          <w:rFonts w:ascii="Calibri" w:hAnsi="Calibri" w:cs="Calibri"/>
          <w:sz w:val="24"/>
          <w:szCs w:val="24"/>
        </w:rPr>
        <w:t>El capital social se fija en la cantidad de UN MILLÓN SEISCIENTOS DOS MIL NOVECIENTOS (1.602.900 €) EUROS, completamente suscrito y desembolsado, dividido y representado por quinientas (500) acciones ordinarias, nominativas y de una sola serie de TRES MIL DOSCIENTOS CINCO EUROS CON OCHENTA CÉNTIMOS DE EURO (3.250,80 €) de valor nominal cada una numerada correlativamente del uno (1) al quinientos (500) ambos inclusive.</w:t>
      </w:r>
    </w:p>
    <w:p w14:paraId="41A1E1E5" w14:textId="643C86A7" w:rsidR="00EA245A" w:rsidRPr="00EA245A" w:rsidRDefault="00EA245A" w:rsidP="00EB3E9F">
      <w:pPr>
        <w:jc w:val="both"/>
        <w:rPr>
          <w:rFonts w:ascii="Calibri" w:hAnsi="Calibri" w:cs="Calibri"/>
          <w:b/>
          <w:bCs/>
          <w:sz w:val="24"/>
          <w:szCs w:val="24"/>
        </w:rPr>
      </w:pPr>
      <w:r>
        <w:rPr>
          <w:rFonts w:ascii="Calibri" w:hAnsi="Calibri" w:cs="Calibri"/>
          <w:b/>
          <w:bCs/>
          <w:sz w:val="24"/>
          <w:szCs w:val="24"/>
        </w:rPr>
        <w:t xml:space="preserve">(Informe </w:t>
      </w:r>
      <w:r w:rsidRPr="00EA245A">
        <w:rPr>
          <w:rFonts w:ascii="Calibri" w:hAnsi="Calibri" w:cs="Calibri"/>
          <w:b/>
          <w:bCs/>
          <w:sz w:val="24"/>
          <w:szCs w:val="24"/>
        </w:rPr>
        <w:t xml:space="preserve">Rev. </w:t>
      </w:r>
      <w:r w:rsidR="00482D9C">
        <w:rPr>
          <w:rFonts w:ascii="Calibri" w:hAnsi="Calibri" w:cs="Calibri"/>
          <w:b/>
          <w:bCs/>
          <w:sz w:val="24"/>
          <w:szCs w:val="24"/>
        </w:rPr>
        <w:t>Abr-2026</w:t>
      </w:r>
      <w:r>
        <w:rPr>
          <w:rFonts w:ascii="Calibri" w:hAnsi="Calibri" w:cs="Calibri"/>
          <w:b/>
          <w:bCs/>
          <w:sz w:val="24"/>
          <w:szCs w:val="24"/>
        </w:rPr>
        <w:t>)</w:t>
      </w:r>
    </w:p>
    <w:sectPr w:rsidR="00EA245A" w:rsidRPr="00EA245A">
      <w:headerReference w:type="even" r:id="rId7"/>
      <w:headerReference w:type="default" r:id="rId8"/>
      <w:footerReference w:type="default" r:id="rId9"/>
      <w:headerReference w:type="first" r:id="rId10"/>
      <w:pgSz w:w="11900" w:h="16840"/>
      <w:pgMar w:top="1417" w:right="1701" w:bottom="1417" w:left="1701" w:header="170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9348D" w14:textId="77777777" w:rsidR="007758B7" w:rsidRDefault="007758B7">
      <w:r>
        <w:separator/>
      </w:r>
    </w:p>
  </w:endnote>
  <w:endnote w:type="continuationSeparator" w:id="0">
    <w:p w14:paraId="432EC662" w14:textId="77777777" w:rsidR="007758B7" w:rsidRDefault="0077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te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61"/>
      <w:gridCol w:w="3260"/>
    </w:tblGrid>
    <w:tr w:rsidR="00CE5E2E" w:rsidRPr="00CE5E2E" w14:paraId="45128985" w14:textId="77777777" w:rsidTr="00CE5E2E">
      <w:tc>
        <w:tcPr>
          <w:tcW w:w="3544" w:type="dxa"/>
        </w:tcPr>
        <w:p w14:paraId="034D085F" w14:textId="77777777" w:rsidR="00CE5E2E" w:rsidRPr="00CE5E2E" w:rsidRDefault="00CE5E2E" w:rsidP="00CE5E2E">
          <w:pPr>
            <w:spacing w:line="275" w:lineRule="auto"/>
            <w:ind w:hanging="2"/>
            <w:textDirection w:val="btLr"/>
            <w:rPr>
              <w:sz w:val="16"/>
              <w:szCs w:val="16"/>
            </w:rPr>
          </w:pPr>
        </w:p>
      </w:tc>
      <w:tc>
        <w:tcPr>
          <w:tcW w:w="3261" w:type="dxa"/>
        </w:tcPr>
        <w:p w14:paraId="3D46D331" w14:textId="77777777" w:rsidR="00CE5E2E" w:rsidRPr="00CE5E2E" w:rsidRDefault="00CE5E2E" w:rsidP="00CE5E2E">
          <w:pPr>
            <w:spacing w:line="275" w:lineRule="auto"/>
            <w:jc w:val="center"/>
            <w:textDirection w:val="btLr"/>
            <w:rPr>
              <w:sz w:val="16"/>
              <w:szCs w:val="16"/>
            </w:rPr>
          </w:pPr>
        </w:p>
      </w:tc>
      <w:tc>
        <w:tcPr>
          <w:tcW w:w="3260" w:type="dxa"/>
        </w:tcPr>
        <w:p w14:paraId="6120DEDC" w14:textId="77777777" w:rsidR="00CE5E2E" w:rsidRPr="00CE5E2E" w:rsidRDefault="00CE5E2E" w:rsidP="00CE5E2E">
          <w:pPr>
            <w:spacing w:line="275" w:lineRule="auto"/>
            <w:ind w:hanging="2"/>
            <w:jc w:val="right"/>
            <w:textDirection w:val="btLr"/>
            <w:rPr>
              <w:sz w:val="16"/>
              <w:szCs w:val="16"/>
            </w:rPr>
          </w:pPr>
        </w:p>
      </w:tc>
    </w:tr>
  </w:tbl>
  <w:p w14:paraId="733286DC" w14:textId="77777777" w:rsidR="00CE5E2E" w:rsidRDefault="00CE5E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4F8C" w14:textId="77777777" w:rsidR="007758B7" w:rsidRDefault="007758B7">
      <w:r>
        <w:separator/>
      </w:r>
    </w:p>
  </w:footnote>
  <w:footnote w:type="continuationSeparator" w:id="0">
    <w:p w14:paraId="72C11D89" w14:textId="77777777" w:rsidR="007758B7" w:rsidRDefault="00775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16E9" w14:textId="77777777" w:rsidR="00BC7939" w:rsidRDefault="00000000">
    <w:pPr>
      <w:pBdr>
        <w:top w:val="nil"/>
        <w:left w:val="nil"/>
        <w:bottom w:val="nil"/>
        <w:right w:val="nil"/>
        <w:between w:val="nil"/>
      </w:pBdr>
      <w:tabs>
        <w:tab w:val="center" w:pos="4419"/>
        <w:tab w:val="right" w:pos="8838"/>
      </w:tabs>
      <w:rPr>
        <w:color w:val="000000"/>
      </w:rPr>
    </w:pPr>
    <w:r>
      <w:rPr>
        <w:color w:val="000000"/>
      </w:rPr>
      <w:pict w14:anchorId="6F531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20pt;height:877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F69D" w14:textId="77777777" w:rsidR="00BC7939" w:rsidRDefault="001D1264">
    <w:pPr>
      <w:pBdr>
        <w:top w:val="nil"/>
        <w:left w:val="nil"/>
        <w:bottom w:val="nil"/>
        <w:right w:val="nil"/>
        <w:between w:val="nil"/>
      </w:pBdr>
      <w:tabs>
        <w:tab w:val="center" w:pos="4419"/>
        <w:tab w:val="right" w:pos="8838"/>
      </w:tabs>
      <w:rPr>
        <w:color w:val="000000"/>
      </w:rPr>
    </w:pPr>
    <w:r>
      <w:rPr>
        <w:noProof/>
        <w:lang w:val="en-US"/>
      </w:rPr>
      <mc:AlternateContent>
        <mc:Choice Requires="wps">
          <w:drawing>
            <wp:anchor distT="0" distB="0" distL="114300" distR="114300" simplePos="0" relativeHeight="251656704" behindDoc="1" locked="0" layoutInCell="1" hidden="0" allowOverlap="1" wp14:anchorId="61FA431E" wp14:editId="58EDB954">
              <wp:simplePos x="0" y="0"/>
              <wp:positionH relativeFrom="margin">
                <wp:posOffset>3590925</wp:posOffset>
              </wp:positionH>
              <wp:positionV relativeFrom="margin">
                <wp:posOffset>-8753514</wp:posOffset>
              </wp:positionV>
              <wp:extent cx="1628775" cy="712589"/>
              <wp:effectExtent l="0" t="0" r="0" b="0"/>
              <wp:wrapNone/>
              <wp:docPr id="12" name="Rectángulo 12"/>
              <wp:cNvGraphicFramePr/>
              <a:graphic xmlns:a="http://schemas.openxmlformats.org/drawingml/2006/main">
                <a:graphicData uri="http://schemas.microsoft.com/office/word/2010/wordprocessingShape">
                  <wps:wsp>
                    <wps:cNvSpPr/>
                    <wps:spPr>
                      <a:xfrm>
                        <a:off x="4160550" y="3293250"/>
                        <a:ext cx="2370900" cy="973500"/>
                      </a:xfrm>
                      <a:prstGeom prst="rect">
                        <a:avLst/>
                      </a:prstGeom>
                      <a:noFill/>
                      <a:ln>
                        <a:noFill/>
                      </a:ln>
                    </wps:spPr>
                    <wps:txbx>
                      <w:txbxContent>
                        <w:p w14:paraId="3AA1823B" w14:textId="77777777" w:rsidR="00BC7939" w:rsidRDefault="001D1264">
                          <w:pPr>
                            <w:spacing w:line="275" w:lineRule="auto"/>
                            <w:ind w:hanging="2"/>
                            <w:jc w:val="right"/>
                            <w:textDirection w:val="btLr"/>
                          </w:pPr>
                          <w:r>
                            <w:rPr>
                              <w:rFonts w:ascii="Inter" w:eastAsia="Inter" w:hAnsi="Inter" w:cs="Inter"/>
                              <w:color w:val="145894"/>
                              <w:sz w:val="18"/>
                            </w:rPr>
                            <w:t>PROEXCA en Las Palmas REA y Secretariado Técnico Común.</w:t>
                          </w:r>
                        </w:p>
                        <w:p w14:paraId="610DE700" w14:textId="77777777" w:rsidR="00BC7939" w:rsidRDefault="001D1264">
                          <w:pPr>
                            <w:spacing w:line="275" w:lineRule="auto"/>
                            <w:ind w:hanging="2"/>
                            <w:jc w:val="right"/>
                            <w:textDirection w:val="btLr"/>
                          </w:pPr>
                          <w:r>
                            <w:rPr>
                              <w:rFonts w:ascii="Inter" w:eastAsia="Inter" w:hAnsi="Inter" w:cs="Inter"/>
                              <w:color w:val="145894"/>
                              <w:sz w:val="18"/>
                            </w:rPr>
                            <w:t>C/ Nicolás Estévanez 30, 2ª planta.</w:t>
                          </w:r>
                        </w:p>
                        <w:p w14:paraId="6D63D578" w14:textId="77777777" w:rsidR="00BC7939" w:rsidRDefault="001D1264">
                          <w:pPr>
                            <w:spacing w:line="275" w:lineRule="auto"/>
                            <w:ind w:hanging="2"/>
                            <w:jc w:val="right"/>
                            <w:textDirection w:val="btLr"/>
                          </w:pPr>
                          <w:r>
                            <w:rPr>
                              <w:rFonts w:ascii="Inter" w:eastAsia="Inter" w:hAnsi="Inter" w:cs="Inter"/>
                              <w:color w:val="145894"/>
                              <w:sz w:val="18"/>
                            </w:rPr>
                            <w:t>35007 – Las Palmas de Gran Canaria</w:t>
                          </w:r>
                        </w:p>
                        <w:p w14:paraId="2A016112" w14:textId="77777777" w:rsidR="00BC7939" w:rsidRDefault="001D1264">
                          <w:pPr>
                            <w:spacing w:line="275" w:lineRule="auto"/>
                            <w:ind w:hanging="2"/>
                            <w:jc w:val="right"/>
                            <w:textDirection w:val="btLr"/>
                          </w:pPr>
                          <w:r>
                            <w:rPr>
                              <w:rFonts w:ascii="Inter" w:eastAsia="Inter" w:hAnsi="Inter" w:cs="Inter"/>
                              <w:color w:val="145894"/>
                              <w:sz w:val="18"/>
                            </w:rPr>
                            <w:t>Islas Canarias – España</w:t>
                          </w:r>
                        </w:p>
                        <w:p w14:paraId="11F5A86A" w14:textId="77777777" w:rsidR="00BC7939" w:rsidRDefault="001D1264">
                          <w:pPr>
                            <w:spacing w:line="275" w:lineRule="auto"/>
                            <w:ind w:hanging="2"/>
                            <w:jc w:val="right"/>
                            <w:textDirection w:val="btLr"/>
                          </w:pPr>
                          <w:r>
                            <w:rPr>
                              <w:rFonts w:ascii="Inter" w:eastAsia="Inter" w:hAnsi="Inter" w:cs="Inter"/>
                              <w:color w:val="145894"/>
                              <w:sz w:val="18"/>
                            </w:rPr>
                            <w:t>Teléfono: +34 928 30 74 50</w:t>
                          </w:r>
                        </w:p>
                        <w:p w14:paraId="184A98D1" w14:textId="77777777" w:rsidR="00BC7939" w:rsidRDefault="00BC7939">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61FA431E" id="Rectángulo 12" o:spid="_x0000_s1026" style="position:absolute;margin-left:282.75pt;margin-top:-689.25pt;width:128.25pt;height:56.1pt;z-index:-25165977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" filled="f" stroked="f">
              <v:textbox inset="2.53958mm,1.2694mm,2.53958mm,1.2694mm">
                <w:txbxContent>
                  <w:p w14:paraId="3AA1823B" w14:textId="77777777" w:rsidR="00BC7939" w:rsidRDefault="001D1264">
                    <w:pPr>
                      <w:spacing w:line="275" w:lineRule="auto"/>
                      <w:ind w:hanging="2"/>
                      <w:jc w:val="right"/>
                      <w:textDirection w:val="btLr"/>
                    </w:pPr>
                    <w:r>
                      <w:rPr>
                        <w:rFonts w:ascii="Inter" w:eastAsia="Inter" w:hAnsi="Inter" w:cs="Inter"/>
                        <w:color w:val="145894"/>
                        <w:sz w:val="18"/>
                      </w:rPr>
                      <w:t>PROEXCA en Las Palmas REA y Secretariado Técnico Común.</w:t>
                    </w:r>
                  </w:p>
                  <w:p w14:paraId="610DE700" w14:textId="77777777" w:rsidR="00BC7939" w:rsidRDefault="001D1264">
                    <w:pPr>
                      <w:spacing w:line="275" w:lineRule="auto"/>
                      <w:ind w:hanging="2"/>
                      <w:jc w:val="right"/>
                      <w:textDirection w:val="btLr"/>
                    </w:pPr>
                    <w:r>
                      <w:rPr>
                        <w:rFonts w:ascii="Inter" w:eastAsia="Inter" w:hAnsi="Inter" w:cs="Inter"/>
                        <w:color w:val="145894"/>
                        <w:sz w:val="18"/>
                      </w:rPr>
                      <w:t>C/ Nicolás Estévanez 30, 2ª planta.</w:t>
                    </w:r>
                  </w:p>
                  <w:p w14:paraId="6D63D578" w14:textId="77777777" w:rsidR="00BC7939" w:rsidRDefault="001D1264">
                    <w:pPr>
                      <w:spacing w:line="275" w:lineRule="auto"/>
                      <w:ind w:hanging="2"/>
                      <w:jc w:val="right"/>
                      <w:textDirection w:val="btLr"/>
                    </w:pPr>
                    <w:r>
                      <w:rPr>
                        <w:rFonts w:ascii="Inter" w:eastAsia="Inter" w:hAnsi="Inter" w:cs="Inter"/>
                        <w:color w:val="145894"/>
                        <w:sz w:val="18"/>
                      </w:rPr>
                      <w:t>35007 – Las Palmas de Gran Canaria</w:t>
                    </w:r>
                  </w:p>
                  <w:p w14:paraId="2A016112" w14:textId="77777777" w:rsidR="00BC7939" w:rsidRDefault="001D1264">
                    <w:pPr>
                      <w:spacing w:line="275" w:lineRule="auto"/>
                      <w:ind w:hanging="2"/>
                      <w:jc w:val="right"/>
                      <w:textDirection w:val="btLr"/>
                    </w:pPr>
                    <w:r>
                      <w:rPr>
                        <w:rFonts w:ascii="Inter" w:eastAsia="Inter" w:hAnsi="Inter" w:cs="Inter"/>
                        <w:color w:val="145894"/>
                        <w:sz w:val="18"/>
                      </w:rPr>
                      <w:t>Islas Canarias – España</w:t>
                    </w:r>
                  </w:p>
                  <w:p w14:paraId="11F5A86A" w14:textId="77777777" w:rsidR="00BC7939" w:rsidRDefault="001D1264">
                    <w:pPr>
                      <w:spacing w:line="275" w:lineRule="auto"/>
                      <w:ind w:hanging="2"/>
                      <w:jc w:val="right"/>
                      <w:textDirection w:val="btLr"/>
                    </w:pPr>
                    <w:r>
                      <w:rPr>
                        <w:rFonts w:ascii="Inter" w:eastAsia="Inter" w:hAnsi="Inter" w:cs="Inter"/>
                        <w:color w:val="145894"/>
                        <w:sz w:val="18"/>
                      </w:rPr>
                      <w:t>Teléfono: +34 928 30 74 50</w:t>
                    </w:r>
                  </w:p>
                  <w:p w14:paraId="184A98D1" w14:textId="77777777" w:rsidR="00BC7939" w:rsidRDefault="00BC7939">
                    <w:pPr>
                      <w:ind w:hanging="2"/>
                      <w:textDirection w:val="btLr"/>
                    </w:pPr>
                  </w:p>
                </w:txbxContent>
              </v:textbox>
              <w10:wrap anchorx="margin" anchory="margin"/>
            </v:rect>
          </w:pict>
        </mc:Fallback>
      </mc:AlternateContent>
    </w:r>
    <w:r>
      <w:rPr>
        <w:noProof/>
        <w:color w:val="000000"/>
        <w:lang w:val="en-US"/>
      </w:rPr>
      <w:drawing>
        <wp:inline distT="0" distB="0" distL="0" distR="0" wp14:anchorId="32EBA6C8" wp14:editId="156A0347">
          <wp:extent cx="2775585" cy="37719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2775585" cy="377190"/>
                  </a:xfrm>
                  <a:prstGeom prst="rect">
                    <a:avLst/>
                  </a:prstGeom>
                  <a:ln/>
                </pic:spPr>
              </pic:pic>
            </a:graphicData>
          </a:graphic>
        </wp:inline>
      </w:drawing>
    </w:r>
  </w:p>
  <w:p w14:paraId="37F9CF96" w14:textId="77777777" w:rsidR="00BC7939" w:rsidRDefault="00BC7939">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2A9E" w14:textId="77777777" w:rsidR="00BC7939" w:rsidRDefault="00000000">
    <w:pPr>
      <w:pBdr>
        <w:top w:val="nil"/>
        <w:left w:val="nil"/>
        <w:bottom w:val="nil"/>
        <w:right w:val="nil"/>
        <w:between w:val="nil"/>
      </w:pBdr>
      <w:tabs>
        <w:tab w:val="center" w:pos="4419"/>
        <w:tab w:val="right" w:pos="8838"/>
      </w:tabs>
      <w:rPr>
        <w:color w:val="000000"/>
      </w:rPr>
    </w:pPr>
    <w:r>
      <w:rPr>
        <w:color w:val="000000"/>
      </w:rPr>
      <w:pict w14:anchorId="1F0C6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620pt;height:877pt;z-index:-251658752;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9F"/>
    <w:rsid w:val="000659B1"/>
    <w:rsid w:val="00084C79"/>
    <w:rsid w:val="001D1264"/>
    <w:rsid w:val="00482D9C"/>
    <w:rsid w:val="006C5EDF"/>
    <w:rsid w:val="007758B7"/>
    <w:rsid w:val="00870086"/>
    <w:rsid w:val="00BC2C69"/>
    <w:rsid w:val="00BC7939"/>
    <w:rsid w:val="00CE5E2E"/>
    <w:rsid w:val="00EA245A"/>
    <w:rsid w:val="00EB3E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5AC7A"/>
  <w15:docId w15:val="{AD9173DA-CFDD-4D00-A50D-84D7BBDC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9F"/>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pPr>
      <w:keepNext/>
      <w:keepLines/>
      <w:spacing w:before="480" w:after="120" w:line="240" w:lineRule="auto"/>
      <w:outlineLvl w:val="0"/>
    </w:pPr>
    <w:rPr>
      <w:rFonts w:ascii="Calibri" w:eastAsia="Calibri" w:hAnsi="Calibri" w:cs="Calibri"/>
      <w:b/>
      <w:sz w:val="48"/>
      <w:szCs w:val="48"/>
    </w:rPr>
  </w:style>
  <w:style w:type="paragraph" w:styleId="Ttulo2">
    <w:name w:val="heading 2"/>
    <w:basedOn w:val="Normal"/>
    <w:next w:val="Normal"/>
    <w:pPr>
      <w:keepNext/>
      <w:keepLines/>
      <w:spacing w:before="360" w:after="80" w:line="240" w:lineRule="auto"/>
      <w:outlineLvl w:val="1"/>
    </w:pPr>
    <w:rPr>
      <w:rFonts w:ascii="Calibri" w:eastAsia="Calibri" w:hAnsi="Calibri" w:cs="Calibri"/>
      <w:b/>
      <w:sz w:val="36"/>
      <w:szCs w:val="36"/>
    </w:rPr>
  </w:style>
  <w:style w:type="paragraph" w:styleId="Ttulo3">
    <w:name w:val="heading 3"/>
    <w:basedOn w:val="Normal"/>
    <w:next w:val="Normal"/>
    <w:pPr>
      <w:keepNext/>
      <w:keepLines/>
      <w:spacing w:before="280" w:after="80" w:line="240" w:lineRule="auto"/>
      <w:outlineLvl w:val="2"/>
    </w:pPr>
    <w:rPr>
      <w:rFonts w:ascii="Calibri" w:eastAsia="Calibri" w:hAnsi="Calibri" w:cs="Calibri"/>
      <w:b/>
      <w:sz w:val="28"/>
      <w:szCs w:val="28"/>
    </w:rPr>
  </w:style>
  <w:style w:type="paragraph" w:styleId="Ttulo4">
    <w:name w:val="heading 4"/>
    <w:basedOn w:val="Normal"/>
    <w:next w:val="Normal"/>
    <w:pPr>
      <w:keepNext/>
      <w:keepLines/>
      <w:spacing w:before="240" w:after="40" w:line="240" w:lineRule="auto"/>
      <w:outlineLvl w:val="3"/>
    </w:pPr>
    <w:rPr>
      <w:rFonts w:ascii="Calibri" w:eastAsia="Calibri" w:hAnsi="Calibri" w:cs="Calibri"/>
      <w:b/>
      <w:sz w:val="24"/>
      <w:szCs w:val="24"/>
    </w:rPr>
  </w:style>
  <w:style w:type="paragraph" w:styleId="Ttulo5">
    <w:name w:val="heading 5"/>
    <w:basedOn w:val="Normal"/>
    <w:next w:val="Normal"/>
    <w:pPr>
      <w:keepNext/>
      <w:keepLines/>
      <w:spacing w:before="220" w:after="40" w:line="240" w:lineRule="auto"/>
      <w:outlineLvl w:val="4"/>
    </w:pPr>
    <w:rPr>
      <w:rFonts w:ascii="Calibri" w:eastAsia="Calibri" w:hAnsi="Calibri" w:cs="Calibri"/>
      <w:b/>
    </w:rPr>
  </w:style>
  <w:style w:type="paragraph" w:styleId="Ttulo6">
    <w:name w:val="heading 6"/>
    <w:basedOn w:val="Normal"/>
    <w:next w:val="Normal"/>
    <w:pPr>
      <w:keepNext/>
      <w:keepLines/>
      <w:spacing w:before="200" w:after="40" w:line="240" w:lineRule="auto"/>
      <w:outlineLvl w:val="5"/>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line="240" w:lineRule="auto"/>
    </w:pPr>
    <w:rPr>
      <w:rFonts w:ascii="Calibri" w:eastAsia="Calibri" w:hAnsi="Calibri" w:cs="Calibri"/>
      <w:b/>
      <w:sz w:val="72"/>
      <w:szCs w:val="72"/>
    </w:rPr>
  </w:style>
  <w:style w:type="paragraph" w:styleId="Encabezado">
    <w:name w:val="header"/>
    <w:basedOn w:val="Normal"/>
    <w:link w:val="EncabezadoCar"/>
    <w:uiPriority w:val="99"/>
    <w:unhideWhenUsed/>
    <w:rsid w:val="00DA6D89"/>
    <w:pPr>
      <w:tabs>
        <w:tab w:val="center" w:pos="4419"/>
        <w:tab w:val="right" w:pos="8838"/>
      </w:tabs>
      <w:spacing w:after="0" w:line="240" w:lineRule="auto"/>
    </w:pPr>
    <w:rPr>
      <w:rFonts w:ascii="Calibri" w:eastAsia="Calibri" w:hAnsi="Calibri" w:cs="Calibri"/>
      <w:sz w:val="24"/>
      <w:szCs w:val="24"/>
    </w:rPr>
  </w:style>
  <w:style w:type="character" w:customStyle="1" w:styleId="EncabezadoCar">
    <w:name w:val="Encabezado Car"/>
    <w:basedOn w:val="Fuentedeprrafopredeter"/>
    <w:link w:val="Encabezado"/>
    <w:uiPriority w:val="99"/>
    <w:rsid w:val="00DA6D89"/>
  </w:style>
  <w:style w:type="paragraph" w:styleId="Piedepgina">
    <w:name w:val="footer"/>
    <w:basedOn w:val="Normal"/>
    <w:link w:val="PiedepginaCar"/>
    <w:uiPriority w:val="99"/>
    <w:unhideWhenUsed/>
    <w:rsid w:val="00DA6D89"/>
    <w:pPr>
      <w:tabs>
        <w:tab w:val="center" w:pos="4419"/>
        <w:tab w:val="right" w:pos="8838"/>
      </w:tabs>
      <w:spacing w:after="0" w:line="240" w:lineRule="auto"/>
    </w:pPr>
    <w:rPr>
      <w:rFonts w:ascii="Calibri" w:eastAsia="Calibri" w:hAnsi="Calibri" w:cs="Calibri"/>
      <w:sz w:val="24"/>
      <w:szCs w:val="24"/>
    </w:rPr>
  </w:style>
  <w:style w:type="character" w:customStyle="1" w:styleId="PiedepginaCar">
    <w:name w:val="Pie de página Car"/>
    <w:basedOn w:val="Fuentedeprrafopredeter"/>
    <w:link w:val="Piedepgina"/>
    <w:uiPriority w:val="99"/>
    <w:rsid w:val="00DA6D89"/>
  </w:style>
  <w:style w:type="paragraph" w:styleId="NormalWeb">
    <w:name w:val="Normal (Web)"/>
    <w:basedOn w:val="Normal"/>
    <w:uiPriority w:val="99"/>
    <w:semiHidden/>
    <w:unhideWhenUsed/>
    <w:rsid w:val="00DA6D89"/>
    <w:pPr>
      <w:spacing w:before="100" w:beforeAutospacing="1" w:after="100" w:afterAutospacing="1"/>
    </w:pPr>
    <w:rPr>
      <w:rFonts w:ascii="Times New Roman" w:eastAsia="Times New Roman" w:hAnsi="Times New Roman"/>
      <w:lang w:eastAsia="es-ES_tradnl"/>
    </w:rPr>
  </w:style>
  <w:style w:type="paragraph" w:styleId="Prrafodelista">
    <w:name w:val="List Paragraph"/>
    <w:basedOn w:val="Normal"/>
    <w:uiPriority w:val="34"/>
    <w:qFormat/>
    <w:rsid w:val="00D650F0"/>
    <w:pPr>
      <w:spacing w:after="0" w:line="240" w:lineRule="auto"/>
      <w:ind w:left="720"/>
      <w:contextualSpacing/>
    </w:pPr>
    <w:rPr>
      <w:rFonts w:ascii="Calibri" w:eastAsia="Calibri" w:hAnsi="Calibri" w:cs="Calibri"/>
      <w:sz w:val="24"/>
      <w:szCs w:val="24"/>
    </w:rPr>
  </w:style>
  <w:style w:type="paragraph" w:styleId="Subttulo">
    <w:name w:val="Subtitle"/>
    <w:basedOn w:val="Normal"/>
    <w:next w:val="Normal"/>
    <w:pPr>
      <w:keepNext/>
      <w:keepLines/>
      <w:spacing w:before="360" w:after="80" w:line="240" w:lineRule="auto"/>
    </w:pPr>
    <w:rPr>
      <w:rFonts w:ascii="Georgia" w:eastAsia="Georgia" w:hAnsi="Georgia" w:cs="Georgia"/>
      <w:i/>
      <w:color w:val="666666"/>
      <w:sz w:val="48"/>
      <w:szCs w:val="48"/>
    </w:rPr>
  </w:style>
  <w:style w:type="table" w:styleId="Tablaconcuadrcula">
    <w:name w:val="Table Grid"/>
    <w:basedOn w:val="Tablanormal"/>
    <w:uiPriority w:val="39"/>
    <w:rsid w:val="00CE5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598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ora.martin\Downloads\PROEXCA_A4%20DOC%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3CN3VN7UxpK2Ru7L3ZO3bLfSiHg==">AMUW2mW0dQv0z58PB9HsF6ndc4njl/ElhoNAut0MMeAQEvE9pjxiTOwfV3tYcfKELY82Cuc8/LnpSASscloRHQW2mY+Lnp3jmZL2mdE/ZZgGPuZ3XnSLpCdJFpOr5DrsGNem5gtF1M++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PROEXCA_A4 DOC GENERAL</Template>
  <TotalTime>4</TotalTime>
  <Pages>2</Pages>
  <Words>487</Words>
  <Characters>2683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Gregorio Rodríguez</dc:creator>
  <cp:lastModifiedBy>DEBORA MARTIN ALVAREZ</cp:lastModifiedBy>
  <cp:revision>3</cp:revision>
  <dcterms:created xsi:type="dcterms:W3CDTF">2023-10-23T08:07:00Z</dcterms:created>
  <dcterms:modified xsi:type="dcterms:W3CDTF">2026-04-09T12:08:00Z</dcterms:modified>
</cp:coreProperties>
</file>